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8B" w:rsidRPr="001E0F8B" w:rsidRDefault="001E0F8B" w:rsidP="001E0F8B">
      <w:pPr>
        <w:spacing w:line="240" w:lineRule="auto"/>
        <w:rPr>
          <w:rFonts w:ascii="Verdana" w:hAnsi="Verdana"/>
          <w:b/>
          <w:sz w:val="28"/>
          <w:szCs w:val="20"/>
        </w:rPr>
      </w:pPr>
      <w:r w:rsidRPr="001E0F8B">
        <w:rPr>
          <w:rFonts w:ascii="Verdana" w:hAnsi="Verdana"/>
          <w:b/>
          <w:sz w:val="28"/>
          <w:szCs w:val="20"/>
        </w:rPr>
        <w:t>NEU – Ganzjährige Ab</w:t>
      </w:r>
      <w:r>
        <w:rPr>
          <w:rFonts w:ascii="Verdana" w:hAnsi="Verdana"/>
          <w:b/>
          <w:sz w:val="28"/>
          <w:szCs w:val="20"/>
        </w:rPr>
        <w:t>gabe von Problemstoffen möglich</w:t>
      </w:r>
      <w:r w:rsidRPr="001E0F8B">
        <w:rPr>
          <w:rFonts w:ascii="Verdana" w:hAnsi="Verdana"/>
          <w:b/>
          <w:sz w:val="28"/>
          <w:szCs w:val="20"/>
        </w:rPr>
        <w:t xml:space="preserve"> </w:t>
      </w:r>
    </w:p>
    <w:p w:rsidR="001E0F8B" w:rsidRPr="001E0F8B" w:rsidRDefault="001E0F8B" w:rsidP="001E0F8B">
      <w:pPr>
        <w:spacing w:line="240" w:lineRule="auto"/>
        <w:rPr>
          <w:rFonts w:ascii="Verdana" w:hAnsi="Verdana"/>
          <w:sz w:val="20"/>
          <w:szCs w:val="20"/>
        </w:rPr>
      </w:pPr>
      <w:r w:rsidRPr="001E0F8B">
        <w:rPr>
          <w:rFonts w:ascii="Verdana" w:hAnsi="Verdana"/>
          <w:sz w:val="20"/>
          <w:szCs w:val="20"/>
        </w:rPr>
        <w:t xml:space="preserve">Problemstoffe sind gefährliche Abfälle, die üblicherweise in privaten Haushalten anfallen. Das sind </w:t>
      </w:r>
      <w:proofErr w:type="spellStart"/>
      <w:r w:rsidRPr="001E0F8B">
        <w:rPr>
          <w:rFonts w:ascii="Verdana" w:hAnsi="Verdana"/>
          <w:sz w:val="20"/>
          <w:szCs w:val="20"/>
        </w:rPr>
        <w:t>z.B</w:t>
      </w:r>
      <w:proofErr w:type="spellEnd"/>
      <w:r w:rsidRPr="001E0F8B">
        <w:rPr>
          <w:rFonts w:ascii="Verdana" w:hAnsi="Verdana"/>
          <w:sz w:val="20"/>
          <w:szCs w:val="20"/>
        </w:rPr>
        <w:t>: Fieberthermometer, Batterien, Lacke und Farben, Medikamente, usw.  Problemstoffe gehören weder in den Mistkübel noch in den Abfluss. Sie sind – achtlos weggeworfen – nicht nur für die Umweltsch</w:t>
      </w:r>
      <w:bookmarkStart w:id="0" w:name="_GoBack"/>
      <w:bookmarkEnd w:id="0"/>
      <w:r w:rsidRPr="001E0F8B">
        <w:rPr>
          <w:rFonts w:ascii="Verdana" w:hAnsi="Verdana"/>
          <w:sz w:val="20"/>
          <w:szCs w:val="20"/>
        </w:rPr>
        <w:t xml:space="preserve">ädlich, sondern können auch die Gesundheit von Menschen und den Lebensraum von Tieren und Pflanzen gefährden. </w:t>
      </w:r>
    </w:p>
    <w:p w:rsidR="001E0F8B" w:rsidRPr="001E0F8B" w:rsidRDefault="001E0F8B" w:rsidP="001E0F8B">
      <w:pPr>
        <w:spacing w:line="240" w:lineRule="auto"/>
        <w:rPr>
          <w:rFonts w:ascii="Verdana" w:hAnsi="Verdana"/>
          <w:sz w:val="20"/>
          <w:szCs w:val="20"/>
        </w:rPr>
      </w:pPr>
      <w:r w:rsidRPr="001E0F8B">
        <w:rPr>
          <w:rFonts w:ascii="Verdana" w:hAnsi="Verdana"/>
          <w:sz w:val="20"/>
          <w:szCs w:val="20"/>
        </w:rPr>
        <w:t xml:space="preserve">Daher wurde in </w:t>
      </w:r>
      <w:proofErr w:type="spellStart"/>
      <w:r w:rsidRPr="001E0F8B">
        <w:rPr>
          <w:rFonts w:ascii="Verdana" w:hAnsi="Verdana"/>
          <w:sz w:val="20"/>
          <w:szCs w:val="20"/>
        </w:rPr>
        <w:t>Neustift</w:t>
      </w:r>
      <w:proofErr w:type="spellEnd"/>
      <w:r w:rsidRPr="001E0F8B">
        <w:rPr>
          <w:rFonts w:ascii="Verdana" w:hAnsi="Verdana"/>
          <w:sz w:val="20"/>
          <w:szCs w:val="20"/>
        </w:rPr>
        <w:t xml:space="preserve"> bereits vor </w:t>
      </w:r>
      <w:r w:rsidRPr="00C9022F">
        <w:rPr>
          <w:rFonts w:ascii="Verdana" w:hAnsi="Verdana"/>
          <w:sz w:val="20"/>
          <w:szCs w:val="20"/>
          <w:highlight w:val="yellow"/>
        </w:rPr>
        <w:t>XXX</w:t>
      </w:r>
      <w:r w:rsidRPr="001E0F8B">
        <w:rPr>
          <w:rFonts w:ascii="Verdana" w:hAnsi="Verdana"/>
          <w:sz w:val="20"/>
          <w:szCs w:val="20"/>
        </w:rPr>
        <w:t xml:space="preserve"> Jahren mit der getrennten Sammlung von </w:t>
      </w:r>
      <w:r w:rsidR="009065AF">
        <w:rPr>
          <w:rFonts w:ascii="Verdana" w:hAnsi="Verdana"/>
          <w:sz w:val="20"/>
          <w:szCs w:val="20"/>
        </w:rPr>
        <w:t>Problemstoffen</w:t>
      </w:r>
      <w:r w:rsidRPr="001E0F8B">
        <w:rPr>
          <w:rFonts w:ascii="Verdana" w:hAnsi="Verdana"/>
          <w:sz w:val="20"/>
          <w:szCs w:val="20"/>
        </w:rPr>
        <w:t xml:space="preserve"> aus Haushalten begonnen. Aufgrund der kontinuierlich hohen Sammelbereitschaft der Neustifter </w:t>
      </w:r>
      <w:proofErr w:type="spellStart"/>
      <w:r w:rsidRPr="001E0F8B">
        <w:rPr>
          <w:rFonts w:ascii="Verdana" w:hAnsi="Verdana"/>
          <w:sz w:val="20"/>
          <w:szCs w:val="20"/>
        </w:rPr>
        <w:t>Bü</w:t>
      </w:r>
      <w:r w:rsidR="00FC75EE">
        <w:rPr>
          <w:rFonts w:ascii="Verdana" w:hAnsi="Verdana"/>
          <w:sz w:val="20"/>
          <w:szCs w:val="20"/>
        </w:rPr>
        <w:t>r</w:t>
      </w:r>
      <w:r w:rsidRPr="001E0F8B">
        <w:rPr>
          <w:rFonts w:ascii="Verdana" w:hAnsi="Verdana"/>
          <w:sz w:val="20"/>
          <w:szCs w:val="20"/>
        </w:rPr>
        <w:t>gerInnen</w:t>
      </w:r>
      <w:proofErr w:type="spellEnd"/>
      <w:r w:rsidRPr="001E0F8B">
        <w:rPr>
          <w:rFonts w:ascii="Verdana" w:hAnsi="Verdana"/>
          <w:sz w:val="20"/>
          <w:szCs w:val="20"/>
        </w:rPr>
        <w:t xml:space="preserve"> wird nun die ganzjährige</w:t>
      </w:r>
      <w:r w:rsidR="009065AF">
        <w:rPr>
          <w:rFonts w:ascii="Verdana" w:hAnsi="Verdana"/>
          <w:sz w:val="20"/>
          <w:szCs w:val="20"/>
        </w:rPr>
        <w:t xml:space="preserve"> kostenlose</w:t>
      </w:r>
      <w:r w:rsidR="009065AF" w:rsidRPr="001E0F8B">
        <w:rPr>
          <w:rFonts w:ascii="Verdana" w:hAnsi="Verdana"/>
          <w:sz w:val="20"/>
          <w:szCs w:val="20"/>
        </w:rPr>
        <w:t xml:space="preserve"> </w:t>
      </w:r>
      <w:r w:rsidRPr="001E0F8B">
        <w:rPr>
          <w:rFonts w:ascii="Verdana" w:hAnsi="Verdana"/>
          <w:sz w:val="20"/>
          <w:szCs w:val="20"/>
        </w:rPr>
        <w:t xml:space="preserve">Abgabe von Problemstoffen am Recyclinghof </w:t>
      </w:r>
      <w:r w:rsidR="00C9022F" w:rsidRPr="00C9022F">
        <w:rPr>
          <w:rFonts w:ascii="Verdana" w:hAnsi="Verdana"/>
          <w:sz w:val="20"/>
          <w:szCs w:val="20"/>
          <w:highlight w:val="yellow"/>
        </w:rPr>
        <w:t>XXXX</w:t>
      </w:r>
      <w:r w:rsidRPr="001E0F8B">
        <w:rPr>
          <w:rFonts w:ascii="Verdana" w:hAnsi="Verdana"/>
          <w:sz w:val="20"/>
          <w:szCs w:val="20"/>
        </w:rPr>
        <w:t xml:space="preserve"> angeboten.</w:t>
      </w:r>
    </w:p>
    <w:p w:rsidR="001E0F8B" w:rsidRPr="001E0F8B" w:rsidRDefault="001E0F8B" w:rsidP="001E0F8B">
      <w:pPr>
        <w:spacing w:line="240" w:lineRule="auto"/>
        <w:rPr>
          <w:rFonts w:ascii="Verdana" w:hAnsi="Verdana"/>
          <w:sz w:val="20"/>
          <w:szCs w:val="20"/>
        </w:rPr>
      </w:pPr>
    </w:p>
    <w:p w:rsidR="001E0F8B" w:rsidRPr="001E0F8B" w:rsidRDefault="001E0F8B" w:rsidP="001E0F8B">
      <w:pPr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Wie erkenne ich Problemstoffe?</w:t>
      </w:r>
      <w:r>
        <w:rPr>
          <w:rFonts w:ascii="Verdana" w:hAnsi="Verdana"/>
          <w:b/>
          <w:szCs w:val="20"/>
        </w:rPr>
        <w:br/>
      </w:r>
      <w:r w:rsidRPr="001E0F8B">
        <w:rPr>
          <w:rFonts w:ascii="Verdana" w:hAnsi="Verdana"/>
          <w:sz w:val="20"/>
          <w:szCs w:val="20"/>
        </w:rPr>
        <w:t>Produkte, die mit einem dieser Zeichen gekennzeichnet sind, gehören in die Problemstoffsammlung: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E80662" w:rsidRPr="00774103" w:rsidTr="00E80662">
        <w:trPr>
          <w:trHeight w:val="789"/>
          <w:jc w:val="center"/>
        </w:trPr>
        <w:tc>
          <w:tcPr>
            <w:tcW w:w="1326" w:type="dxa"/>
          </w:tcPr>
          <w:p w:rsidR="00E80662" w:rsidRPr="00774103" w:rsidRDefault="00E80662" w:rsidP="00FD5C2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</w:rPr>
            </w:pPr>
            <w:r w:rsidRPr="00774103">
              <w:rPr>
                <w:rFonts w:ascii="Verdana" w:hAnsi="Verdana"/>
                <w:noProof/>
                <w:lang w:eastAsia="de-AT"/>
              </w:rPr>
              <w:drawing>
                <wp:inline distT="0" distB="0" distL="0" distR="0" wp14:anchorId="59BF1822" wp14:editId="130DA58C">
                  <wp:extent cx="432772" cy="432000"/>
                  <wp:effectExtent l="0" t="0" r="5715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7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E80662" w:rsidRPr="00774103" w:rsidRDefault="00E80662" w:rsidP="00FD5C2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</w:rPr>
            </w:pPr>
            <w:r w:rsidRPr="00774103">
              <w:rPr>
                <w:rFonts w:ascii="Verdana" w:hAnsi="Verdana"/>
                <w:noProof/>
                <w:lang w:eastAsia="de-AT"/>
              </w:rPr>
              <w:drawing>
                <wp:inline distT="0" distB="0" distL="0" distR="0" wp14:anchorId="0D94B37F" wp14:editId="1CB6B521">
                  <wp:extent cx="433562" cy="432000"/>
                  <wp:effectExtent l="0" t="0" r="508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56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E80662" w:rsidRPr="00774103" w:rsidRDefault="00E80662" w:rsidP="00FD5C2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</w:rPr>
            </w:pPr>
            <w:r w:rsidRPr="00774103">
              <w:rPr>
                <w:rFonts w:ascii="Verdana" w:hAnsi="Verdana"/>
                <w:noProof/>
                <w:lang w:eastAsia="de-AT"/>
              </w:rPr>
              <w:drawing>
                <wp:inline distT="0" distB="0" distL="0" distR="0" wp14:anchorId="284F69FD" wp14:editId="09A1CED4">
                  <wp:extent cx="429000" cy="432000"/>
                  <wp:effectExtent l="0" t="0" r="9525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E80662" w:rsidRPr="00774103" w:rsidRDefault="00E80662" w:rsidP="00FD5C2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</w:rPr>
            </w:pPr>
            <w:r w:rsidRPr="00774103">
              <w:rPr>
                <w:rFonts w:ascii="Verdana" w:hAnsi="Verdana"/>
                <w:noProof/>
                <w:lang w:eastAsia="de-AT"/>
              </w:rPr>
              <w:drawing>
                <wp:inline distT="0" distB="0" distL="0" distR="0" wp14:anchorId="1F884C2C" wp14:editId="4ADEED74">
                  <wp:extent cx="432000" cy="432000"/>
                  <wp:effectExtent l="0" t="0" r="635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E80662" w:rsidRPr="00774103" w:rsidRDefault="00E80662" w:rsidP="00FD5C2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noProof/>
                <w:lang w:eastAsia="de-AT"/>
              </w:rPr>
            </w:pPr>
            <w:r w:rsidRPr="00774103">
              <w:rPr>
                <w:rFonts w:ascii="Verdana" w:hAnsi="Verdana"/>
                <w:noProof/>
                <w:lang w:eastAsia="de-AT"/>
              </w:rPr>
              <w:drawing>
                <wp:inline distT="0" distB="0" distL="0" distR="0" wp14:anchorId="65486131" wp14:editId="24C57DC7">
                  <wp:extent cx="431144" cy="432000"/>
                  <wp:effectExtent l="0" t="0" r="7620" b="635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4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E80662" w:rsidRPr="00774103" w:rsidRDefault="00E80662" w:rsidP="00FD5C2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noProof/>
                <w:lang w:eastAsia="de-AT"/>
              </w:rPr>
            </w:pPr>
            <w:r w:rsidRPr="00774103">
              <w:rPr>
                <w:rFonts w:ascii="Verdana" w:hAnsi="Verdana"/>
                <w:noProof/>
                <w:lang w:eastAsia="de-AT"/>
              </w:rPr>
              <w:drawing>
                <wp:inline distT="0" distB="0" distL="0" distR="0" wp14:anchorId="47770120" wp14:editId="3B730D8E">
                  <wp:extent cx="432000" cy="432000"/>
                  <wp:effectExtent l="0" t="0" r="635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E80662" w:rsidRPr="00774103" w:rsidRDefault="00E80662" w:rsidP="00FD5C2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noProof/>
                <w:lang w:eastAsia="de-AT"/>
              </w:rPr>
            </w:pPr>
            <w:r w:rsidRPr="00774103">
              <w:rPr>
                <w:rFonts w:ascii="Verdana" w:hAnsi="Verdana"/>
                <w:noProof/>
                <w:lang w:eastAsia="de-AT"/>
              </w:rPr>
              <w:drawing>
                <wp:inline distT="0" distB="0" distL="0" distR="0" wp14:anchorId="47DBCDC3" wp14:editId="56718F20">
                  <wp:extent cx="430550" cy="432000"/>
                  <wp:effectExtent l="0" t="0" r="7620" b="635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5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662" w:rsidRPr="00774103" w:rsidTr="00E80662">
        <w:trPr>
          <w:trHeight w:val="289"/>
          <w:jc w:val="center"/>
        </w:trPr>
        <w:tc>
          <w:tcPr>
            <w:tcW w:w="1326" w:type="dxa"/>
          </w:tcPr>
          <w:p w:rsidR="00E80662" w:rsidRPr="00E80662" w:rsidRDefault="00E80662" w:rsidP="00FD5C2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8"/>
              </w:rPr>
            </w:pPr>
            <w:r w:rsidRPr="00E80662">
              <w:rPr>
                <w:rFonts w:ascii="Verdana" w:hAnsi="Verdana" w:cs="Tahoma"/>
                <w:sz w:val="18"/>
              </w:rPr>
              <w:t>giftig</w:t>
            </w:r>
          </w:p>
        </w:tc>
        <w:tc>
          <w:tcPr>
            <w:tcW w:w="1327" w:type="dxa"/>
          </w:tcPr>
          <w:p w:rsidR="00E80662" w:rsidRPr="00E80662" w:rsidRDefault="00E80662" w:rsidP="00FD5C2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g</w:t>
            </w:r>
            <w:r w:rsidRPr="00E80662">
              <w:rPr>
                <w:rFonts w:ascii="Verdana" w:hAnsi="Verdana" w:cs="Tahoma"/>
                <w:sz w:val="18"/>
              </w:rPr>
              <w:t>esundheits</w:t>
            </w:r>
            <w:r>
              <w:rPr>
                <w:rFonts w:ascii="Verdana" w:hAnsi="Verdana" w:cs="Tahoma"/>
                <w:sz w:val="18"/>
              </w:rPr>
              <w:t>-</w:t>
            </w:r>
            <w:r w:rsidRPr="00E80662">
              <w:rPr>
                <w:rFonts w:ascii="Verdana" w:hAnsi="Verdana" w:cs="Tahoma"/>
                <w:sz w:val="18"/>
              </w:rPr>
              <w:t>schädlich</w:t>
            </w:r>
          </w:p>
        </w:tc>
        <w:tc>
          <w:tcPr>
            <w:tcW w:w="1327" w:type="dxa"/>
          </w:tcPr>
          <w:p w:rsidR="00E80662" w:rsidRPr="00E80662" w:rsidRDefault="00E80662" w:rsidP="00FD5C2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8"/>
              </w:rPr>
            </w:pPr>
            <w:r w:rsidRPr="00E80662">
              <w:rPr>
                <w:rFonts w:ascii="Verdana" w:hAnsi="Verdana" w:cs="Tahoma"/>
                <w:sz w:val="18"/>
              </w:rPr>
              <w:t>leicht entzündlich</w:t>
            </w:r>
          </w:p>
        </w:tc>
        <w:tc>
          <w:tcPr>
            <w:tcW w:w="1327" w:type="dxa"/>
          </w:tcPr>
          <w:p w:rsidR="00E80662" w:rsidRPr="00E80662" w:rsidRDefault="00E80662" w:rsidP="00E8066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8"/>
                <w:szCs w:val="4"/>
              </w:rPr>
            </w:pPr>
            <w:r>
              <w:rPr>
                <w:rFonts w:ascii="Verdana" w:hAnsi="Verdana" w:cs="Tahoma"/>
                <w:sz w:val="18"/>
              </w:rPr>
              <w:t>ä</w:t>
            </w:r>
            <w:r w:rsidRPr="00E80662">
              <w:rPr>
                <w:rFonts w:ascii="Verdana" w:hAnsi="Verdana" w:cs="Tahoma"/>
                <w:sz w:val="18"/>
              </w:rPr>
              <w:t>tzend</w:t>
            </w:r>
          </w:p>
          <w:p w:rsidR="00E80662" w:rsidRPr="00E80662" w:rsidRDefault="00E80662" w:rsidP="00E8066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8"/>
                <w:szCs w:val="4"/>
              </w:rPr>
            </w:pPr>
          </w:p>
        </w:tc>
        <w:tc>
          <w:tcPr>
            <w:tcW w:w="1327" w:type="dxa"/>
          </w:tcPr>
          <w:p w:rsidR="00E80662" w:rsidRPr="00E80662" w:rsidRDefault="00E80662" w:rsidP="00E8066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e</w:t>
            </w:r>
            <w:r w:rsidRPr="00E80662">
              <w:rPr>
                <w:rFonts w:ascii="Verdana" w:hAnsi="Verdana" w:cs="Tahoma"/>
                <w:sz w:val="18"/>
              </w:rPr>
              <w:t>xplosions</w:t>
            </w:r>
            <w:r>
              <w:rPr>
                <w:rFonts w:ascii="Verdana" w:hAnsi="Verdana" w:cs="Tahoma"/>
                <w:sz w:val="18"/>
              </w:rPr>
              <w:t>-</w:t>
            </w:r>
            <w:r w:rsidRPr="00E80662">
              <w:rPr>
                <w:rFonts w:ascii="Verdana" w:hAnsi="Verdana" w:cs="Tahoma"/>
                <w:sz w:val="18"/>
              </w:rPr>
              <w:t>gefährlich</w:t>
            </w:r>
          </w:p>
        </w:tc>
        <w:tc>
          <w:tcPr>
            <w:tcW w:w="1327" w:type="dxa"/>
          </w:tcPr>
          <w:p w:rsidR="00E80662" w:rsidRPr="00E80662" w:rsidRDefault="00E80662" w:rsidP="00E8066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u</w:t>
            </w:r>
            <w:r w:rsidRPr="00E80662">
              <w:rPr>
                <w:rFonts w:ascii="Verdana" w:hAnsi="Verdana" w:cs="Tahoma"/>
                <w:sz w:val="18"/>
              </w:rPr>
              <w:t>mwelt</w:t>
            </w:r>
            <w:r>
              <w:rPr>
                <w:rFonts w:ascii="Verdana" w:hAnsi="Verdana" w:cs="Tahoma"/>
                <w:sz w:val="18"/>
              </w:rPr>
              <w:t>-</w:t>
            </w:r>
            <w:r w:rsidRPr="00E80662">
              <w:rPr>
                <w:rFonts w:ascii="Verdana" w:hAnsi="Verdana" w:cs="Tahoma"/>
                <w:sz w:val="18"/>
              </w:rPr>
              <w:t>gefährlich</w:t>
            </w:r>
          </w:p>
        </w:tc>
        <w:tc>
          <w:tcPr>
            <w:tcW w:w="1327" w:type="dxa"/>
          </w:tcPr>
          <w:p w:rsidR="00E80662" w:rsidRPr="00E80662" w:rsidRDefault="00E80662" w:rsidP="00C65B5E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8"/>
              </w:rPr>
            </w:pPr>
            <w:r w:rsidRPr="00E80662">
              <w:rPr>
                <w:rFonts w:ascii="Verdana" w:hAnsi="Verdana" w:cs="Tahoma"/>
                <w:sz w:val="18"/>
              </w:rPr>
              <w:t>nicht in den Haushalts</w:t>
            </w:r>
            <w:r>
              <w:rPr>
                <w:rFonts w:ascii="Verdana" w:hAnsi="Verdana" w:cs="Tahoma"/>
                <w:sz w:val="18"/>
              </w:rPr>
              <w:t>-</w:t>
            </w:r>
            <w:r w:rsidRPr="00E80662">
              <w:rPr>
                <w:rFonts w:ascii="Verdana" w:hAnsi="Verdana" w:cs="Tahoma"/>
                <w:sz w:val="18"/>
              </w:rPr>
              <w:t>müll</w:t>
            </w:r>
          </w:p>
        </w:tc>
      </w:tr>
    </w:tbl>
    <w:p w:rsidR="004B4543" w:rsidRDefault="004B4543" w:rsidP="004B4543">
      <w:pPr>
        <w:spacing w:line="240" w:lineRule="auto"/>
        <w:jc w:val="center"/>
        <w:rPr>
          <w:rFonts w:ascii="Verdana" w:hAnsi="Verdana"/>
          <w:b/>
          <w:color w:val="C00000"/>
          <w:sz w:val="24"/>
          <w:szCs w:val="20"/>
        </w:rPr>
      </w:pPr>
      <w:r w:rsidRPr="001E0F8B">
        <w:rPr>
          <w:rFonts w:ascii="Verdana" w:hAnsi="Verdana"/>
          <w:b/>
          <w:color w:val="C00000"/>
          <w:sz w:val="24"/>
          <w:szCs w:val="20"/>
        </w:rPr>
        <w:t>VERGIFTUNGSNOTRUF: 01 406 43 43</w:t>
      </w:r>
    </w:p>
    <w:p w:rsidR="004B4543" w:rsidRPr="001E0F8B" w:rsidRDefault="004B4543" w:rsidP="004B4543">
      <w:pPr>
        <w:spacing w:line="240" w:lineRule="auto"/>
        <w:jc w:val="center"/>
        <w:rPr>
          <w:rFonts w:ascii="Verdana" w:hAnsi="Verdana"/>
          <w:b/>
          <w:color w:val="C00000"/>
          <w:sz w:val="24"/>
          <w:szCs w:val="20"/>
        </w:rPr>
      </w:pPr>
    </w:p>
    <w:p w:rsidR="001E0F8B" w:rsidRDefault="001E0F8B" w:rsidP="001E0F8B">
      <w:pPr>
        <w:spacing w:line="240" w:lineRule="auto"/>
        <w:rPr>
          <w:rFonts w:ascii="Verdana" w:hAnsi="Verdana"/>
          <w:sz w:val="20"/>
          <w:szCs w:val="20"/>
        </w:rPr>
      </w:pPr>
      <w:r w:rsidRPr="001E0F8B">
        <w:rPr>
          <w:rFonts w:ascii="Verdana" w:hAnsi="Verdana"/>
          <w:b/>
          <w:szCs w:val="20"/>
        </w:rPr>
        <w:t>Wie bewahre ich Problemstoffe richtig auf?</w:t>
      </w:r>
    </w:p>
    <w:p w:rsidR="001E0F8B" w:rsidRDefault="001E0F8B" w:rsidP="001E0F8B">
      <w:pPr>
        <w:pStyle w:val="Listenabsatz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1E0F8B">
        <w:rPr>
          <w:rFonts w:ascii="Verdana" w:hAnsi="Verdana"/>
          <w:sz w:val="20"/>
          <w:szCs w:val="20"/>
        </w:rPr>
        <w:t>Verwahren Sie die anfallenden Problemstoffe an einem sicheren Ort (geschützt vor Kindern und Haustieren) – am besten mit kindersicheren Verschlüssen</w:t>
      </w:r>
    </w:p>
    <w:p w:rsidR="001E0F8B" w:rsidRDefault="001E0F8B" w:rsidP="001E0F8B">
      <w:pPr>
        <w:pStyle w:val="Listenabsatz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1E0F8B">
        <w:rPr>
          <w:rFonts w:ascii="Verdana" w:hAnsi="Verdana"/>
          <w:sz w:val="20"/>
          <w:szCs w:val="20"/>
        </w:rPr>
        <w:t>Bewahren Sie Problemstoffe bis zur endgültigen Entsorgung in der Originalverpackung/Gebinde auf. Füllen Sie NIE flüssige Stoffe in beschriftete Behälter (Getränkeflaschen) um!</w:t>
      </w:r>
    </w:p>
    <w:p w:rsidR="001E0F8B" w:rsidRDefault="001E0F8B" w:rsidP="001E0F8B">
      <w:pPr>
        <w:pStyle w:val="Listenabsatz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1E0F8B">
        <w:rPr>
          <w:rFonts w:ascii="Verdana" w:hAnsi="Verdana"/>
          <w:sz w:val="20"/>
          <w:szCs w:val="20"/>
        </w:rPr>
        <w:t>Auf keinen Fall verschiedene Problemstoffe zusammenschütten, da können gefährliche, sogar explosive Mischungen entstehen.</w:t>
      </w:r>
    </w:p>
    <w:p w:rsidR="001E0F8B" w:rsidRPr="001E0F8B" w:rsidRDefault="001E0F8B" w:rsidP="001E0F8B">
      <w:pPr>
        <w:pStyle w:val="Listenabsatz"/>
        <w:spacing w:line="240" w:lineRule="auto"/>
        <w:rPr>
          <w:rFonts w:ascii="Verdana" w:hAnsi="Verdana"/>
          <w:sz w:val="20"/>
          <w:szCs w:val="20"/>
        </w:rPr>
      </w:pPr>
    </w:p>
    <w:p w:rsidR="001E0F8B" w:rsidRPr="001E0F8B" w:rsidRDefault="001E0F8B" w:rsidP="001E0F8B">
      <w:pPr>
        <w:spacing w:line="240" w:lineRule="auto"/>
        <w:rPr>
          <w:rFonts w:ascii="Verdana" w:hAnsi="Verdana"/>
          <w:b/>
          <w:szCs w:val="20"/>
        </w:rPr>
      </w:pPr>
      <w:r w:rsidRPr="001E0F8B">
        <w:rPr>
          <w:rFonts w:ascii="Verdana" w:hAnsi="Verdana"/>
          <w:b/>
          <w:szCs w:val="20"/>
        </w:rPr>
        <w:t>Ab sofort können zu den Öffnungszeiten Problemstoffe aus Haushalten kostenfrei abgegeben werden</w:t>
      </w:r>
    </w:p>
    <w:p w:rsidR="001E0F8B" w:rsidRDefault="00E80662" w:rsidP="001E0F8B">
      <w:pPr>
        <w:spacing w:line="240" w:lineRule="auto"/>
        <w:rPr>
          <w:rFonts w:ascii="Verdana" w:hAnsi="Verdana"/>
          <w:sz w:val="20"/>
          <w:szCs w:val="20"/>
        </w:rPr>
      </w:pPr>
      <w:r w:rsidRPr="00E80662">
        <w:rPr>
          <w:rFonts w:ascii="Verdana" w:hAnsi="Verdana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E77324" wp14:editId="523907CA">
                <wp:simplePos x="0" y="0"/>
                <wp:positionH relativeFrom="column">
                  <wp:posOffset>2864485</wp:posOffset>
                </wp:positionH>
                <wp:positionV relativeFrom="paragraph">
                  <wp:posOffset>276860</wp:posOffset>
                </wp:positionV>
                <wp:extent cx="2843530" cy="2099945"/>
                <wp:effectExtent l="0" t="0" r="0" b="0"/>
                <wp:wrapTight wrapText="bothSides">
                  <wp:wrapPolygon edited="0">
                    <wp:start x="0" y="0"/>
                    <wp:lineTo x="0" y="21358"/>
                    <wp:lineTo x="21417" y="21358"/>
                    <wp:lineTo x="21417" y="0"/>
                    <wp:lineTo x="0" y="0"/>
                  </wp:wrapPolygon>
                </wp:wrapTight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209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662" w:rsidRDefault="00E80662" w:rsidP="00E80662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8066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Nagellacke und –entferner</w:t>
                            </w:r>
                          </w:p>
                          <w:p w:rsidR="00E80662" w:rsidRDefault="00E80662" w:rsidP="00E80662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8066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Haarfärbemittel</w:t>
                            </w:r>
                          </w:p>
                          <w:p w:rsidR="00E80662" w:rsidRDefault="00E80662" w:rsidP="00E80662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8066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Laugen und Laugenreste (z. B. Sanitärreiniger, Chlor, Schwimmbad-chemikalien)</w:t>
                            </w:r>
                          </w:p>
                          <w:p w:rsidR="00E80662" w:rsidRDefault="00E80662" w:rsidP="00E80662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8066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Säuren, Säurereste (z. B. Schwimmbadchemikalien)</w:t>
                            </w:r>
                          </w:p>
                          <w:p w:rsidR="00E80662" w:rsidRDefault="00E80662" w:rsidP="00E80662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8066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Motor- und Getriebeöle (z. B. Ölfilter)</w:t>
                            </w:r>
                          </w:p>
                          <w:p w:rsidR="00E80662" w:rsidRPr="00E80662" w:rsidRDefault="00E80662" w:rsidP="00E80662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8066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Putz- und Reinigungsmittel, private </w:t>
                            </w:r>
                            <w:proofErr w:type="spellStart"/>
                            <w:r w:rsidRPr="00E8066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Werkstättenabfälle</w:t>
                            </w:r>
                            <w:proofErr w:type="spellEnd"/>
                            <w:r w:rsidRPr="00E8066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(z. B. Putzlappen mit Lösungsmitteln und Öl verunreinigt, Frostschutzmittel)</w:t>
                            </w:r>
                          </w:p>
                          <w:p w:rsidR="00E80662" w:rsidRDefault="00E80662" w:rsidP="00E80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5.55pt;margin-top:21.8pt;width:223.9pt;height:16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" stroked="f">
                <v:textbox>
                  <w:txbxContent>
                    <w:p w:rsidR="00E80662" w:rsidRDefault="00E80662" w:rsidP="00E80662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80662">
                        <w:rPr>
                          <w:rFonts w:ascii="Verdana" w:hAnsi="Verdana"/>
                          <w:sz w:val="20"/>
                          <w:szCs w:val="20"/>
                        </w:rPr>
                        <w:t>Nagellacke und –entferner</w:t>
                      </w:r>
                    </w:p>
                    <w:p w:rsidR="00E80662" w:rsidRDefault="00E80662" w:rsidP="00E80662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80662">
                        <w:rPr>
                          <w:rFonts w:ascii="Verdana" w:hAnsi="Verdana"/>
                          <w:sz w:val="20"/>
                          <w:szCs w:val="20"/>
                        </w:rPr>
                        <w:t>H</w:t>
                      </w:r>
                      <w:r w:rsidRPr="00E80662">
                        <w:rPr>
                          <w:rFonts w:ascii="Verdana" w:hAnsi="Verdana"/>
                          <w:sz w:val="20"/>
                          <w:szCs w:val="20"/>
                        </w:rPr>
                        <w:t>aarfärbemittel</w:t>
                      </w:r>
                    </w:p>
                    <w:p w:rsidR="00E80662" w:rsidRDefault="00E80662" w:rsidP="00E80662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80662">
                        <w:rPr>
                          <w:rFonts w:ascii="Verdana" w:hAnsi="Verdana"/>
                          <w:sz w:val="20"/>
                          <w:szCs w:val="20"/>
                        </w:rPr>
                        <w:t>Laugen und Laugenreste (z. B. Sanitärreiniger, Chlor, Schwimmbad</w:t>
                      </w:r>
                      <w:r w:rsidRPr="00E80662">
                        <w:rPr>
                          <w:rFonts w:ascii="Verdana" w:hAnsi="Verdana"/>
                          <w:sz w:val="20"/>
                          <w:szCs w:val="20"/>
                        </w:rPr>
                        <w:t>-</w:t>
                      </w:r>
                      <w:r w:rsidRPr="00E80662">
                        <w:rPr>
                          <w:rFonts w:ascii="Verdana" w:hAnsi="Verdana"/>
                          <w:sz w:val="20"/>
                          <w:szCs w:val="20"/>
                        </w:rPr>
                        <w:t>chemikalien)</w:t>
                      </w:r>
                    </w:p>
                    <w:p w:rsidR="00E80662" w:rsidRDefault="00E80662" w:rsidP="00E80662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80662">
                        <w:rPr>
                          <w:rFonts w:ascii="Verdana" w:hAnsi="Verdana"/>
                          <w:sz w:val="20"/>
                          <w:szCs w:val="20"/>
                        </w:rPr>
                        <w:t>Säuren, Säurereste (z. B. Schwimmbadchemikalien)</w:t>
                      </w:r>
                    </w:p>
                    <w:p w:rsidR="00E80662" w:rsidRDefault="00E80662" w:rsidP="00E80662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80662">
                        <w:rPr>
                          <w:rFonts w:ascii="Verdana" w:hAnsi="Verdana"/>
                          <w:sz w:val="20"/>
                          <w:szCs w:val="20"/>
                        </w:rPr>
                        <w:t>Motor- und Getriebeöle (z. B. Ölfilter)</w:t>
                      </w:r>
                    </w:p>
                    <w:p w:rsidR="00E80662" w:rsidRPr="00E80662" w:rsidRDefault="00E80662" w:rsidP="00E80662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80662">
                        <w:rPr>
                          <w:rFonts w:ascii="Verdana" w:hAnsi="Verdana"/>
                          <w:sz w:val="20"/>
                          <w:szCs w:val="20"/>
                        </w:rPr>
                        <w:t>P</w:t>
                      </w:r>
                      <w:r w:rsidRPr="00E8066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utz- und Reinigungsmittel, private </w:t>
                      </w:r>
                      <w:proofErr w:type="spellStart"/>
                      <w:r w:rsidRPr="00E80662">
                        <w:rPr>
                          <w:rFonts w:ascii="Verdana" w:hAnsi="Verdana"/>
                          <w:sz w:val="20"/>
                          <w:szCs w:val="20"/>
                        </w:rPr>
                        <w:t>Werkstättenabfälle</w:t>
                      </w:r>
                      <w:proofErr w:type="spellEnd"/>
                      <w:r w:rsidRPr="00E8066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(z. B. Putzlappen mit Lösungsmitteln und Öl verunreinigt, Frostschutzmittel)</w:t>
                      </w:r>
                    </w:p>
                    <w:p w:rsidR="00E80662" w:rsidRDefault="00E80662" w:rsidP="00E80662"/>
                  </w:txbxContent>
                </v:textbox>
                <w10:wrap type="tight"/>
              </v:shape>
            </w:pict>
          </mc:Fallback>
        </mc:AlternateContent>
      </w:r>
      <w:r w:rsidRPr="00E80662">
        <w:rPr>
          <w:rFonts w:ascii="Verdana" w:hAnsi="Verdana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D3A03F" wp14:editId="1AB775E5">
                <wp:simplePos x="0" y="0"/>
                <wp:positionH relativeFrom="column">
                  <wp:posOffset>26035</wp:posOffset>
                </wp:positionH>
                <wp:positionV relativeFrom="paragraph">
                  <wp:posOffset>281940</wp:posOffset>
                </wp:positionV>
                <wp:extent cx="2843530" cy="1403985"/>
                <wp:effectExtent l="0" t="0" r="0" b="1270"/>
                <wp:wrapTight wrapText="bothSides">
                  <wp:wrapPolygon edited="0">
                    <wp:start x="0" y="0"/>
                    <wp:lineTo x="0" y="21417"/>
                    <wp:lineTo x="21417" y="21417"/>
                    <wp:lineTo x="21417" y="0"/>
                    <wp:lineTo x="0" y="0"/>
                  </wp:wrapPolygon>
                </wp:wrapTight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662" w:rsidRDefault="00E80662" w:rsidP="00E8066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8066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Pflanzenschutz – und Schädlings-</w:t>
                            </w:r>
                            <w:proofErr w:type="spellStart"/>
                            <w:r w:rsidRPr="00E8066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bekämpfungsmittel</w:t>
                            </w:r>
                            <w:proofErr w:type="spellEnd"/>
                          </w:p>
                          <w:p w:rsidR="00E80662" w:rsidRDefault="00E80662" w:rsidP="00E8066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8066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Farben und Lacke (z. B. Dispersionsfarben)</w:t>
                            </w:r>
                          </w:p>
                          <w:p w:rsidR="00E80662" w:rsidRDefault="00E80662" w:rsidP="00E8066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8066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Medikamente</w:t>
                            </w:r>
                          </w:p>
                          <w:p w:rsidR="00E80662" w:rsidRDefault="00E80662" w:rsidP="00E8066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8066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Batterien (z. B. Knopfzellen, Starterbatterien)</w:t>
                            </w:r>
                          </w:p>
                          <w:p w:rsidR="00E80662" w:rsidRPr="00E80662" w:rsidRDefault="00E80662" w:rsidP="00E8066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8066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Spraydosen mit Restinhalten (z. B. Haarsprays, </w:t>
                            </w:r>
                            <w:proofErr w:type="spellStart"/>
                            <w:r w:rsidRPr="00E8066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Deosprays</w:t>
                            </w:r>
                            <w:proofErr w:type="spellEnd"/>
                            <w:r w:rsidRPr="00E8066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Sonnen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</w:t>
                            </w:r>
                            <w:r w:rsidRPr="00E8066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schutzmittel etc.)</w:t>
                            </w:r>
                          </w:p>
                          <w:p w:rsidR="00E80662" w:rsidRDefault="00E806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.05pt;margin-top:22.2pt;width:223.9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" stroked="f">
                <v:textbox style="mso-fit-shape-to-text:t">
                  <w:txbxContent>
                    <w:p w:rsidR="00E80662" w:rsidRDefault="00E80662" w:rsidP="00E8066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80662">
                        <w:rPr>
                          <w:rFonts w:ascii="Verdana" w:hAnsi="Verdana"/>
                          <w:sz w:val="20"/>
                          <w:szCs w:val="20"/>
                        </w:rPr>
                        <w:t>Pflanzenschutz – und Schädlings</w:t>
                      </w:r>
                      <w:r w:rsidRPr="00E80662">
                        <w:rPr>
                          <w:rFonts w:ascii="Verdana" w:hAnsi="Verdana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E80662">
                        <w:rPr>
                          <w:rFonts w:ascii="Verdana" w:hAnsi="Verdana"/>
                          <w:sz w:val="20"/>
                          <w:szCs w:val="20"/>
                        </w:rPr>
                        <w:t>bekämpfungsmittel</w:t>
                      </w:r>
                      <w:proofErr w:type="spellEnd"/>
                    </w:p>
                    <w:p w:rsidR="00E80662" w:rsidRDefault="00E80662" w:rsidP="00E8066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80662">
                        <w:rPr>
                          <w:rFonts w:ascii="Verdana" w:hAnsi="Verdana"/>
                          <w:sz w:val="20"/>
                          <w:szCs w:val="20"/>
                        </w:rPr>
                        <w:t>Farben und Lacke (z. B. Dispersionsfarben)</w:t>
                      </w:r>
                    </w:p>
                    <w:p w:rsidR="00E80662" w:rsidRDefault="00E80662" w:rsidP="00E8066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80662">
                        <w:rPr>
                          <w:rFonts w:ascii="Verdana" w:hAnsi="Verdana"/>
                          <w:sz w:val="20"/>
                          <w:szCs w:val="20"/>
                        </w:rPr>
                        <w:t>Medikamente</w:t>
                      </w:r>
                    </w:p>
                    <w:p w:rsidR="00E80662" w:rsidRDefault="00E80662" w:rsidP="00E8066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80662">
                        <w:rPr>
                          <w:rFonts w:ascii="Verdana" w:hAnsi="Verdana"/>
                          <w:sz w:val="20"/>
                          <w:szCs w:val="20"/>
                        </w:rPr>
                        <w:t>Batterien (z. B. Knopfzellen, Starterbatterien)</w:t>
                      </w:r>
                    </w:p>
                    <w:p w:rsidR="00E80662" w:rsidRPr="00E80662" w:rsidRDefault="00E80662" w:rsidP="00E8066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8066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Spraydosen mit Restinhalten (z. B. Haarsprays, </w:t>
                      </w:r>
                      <w:proofErr w:type="spellStart"/>
                      <w:r w:rsidRPr="00E80662">
                        <w:rPr>
                          <w:rFonts w:ascii="Verdana" w:hAnsi="Verdana"/>
                          <w:sz w:val="20"/>
                          <w:szCs w:val="20"/>
                        </w:rPr>
                        <w:t>Deosprays</w:t>
                      </w:r>
                      <w:proofErr w:type="spellEnd"/>
                      <w:r w:rsidRPr="00E80662">
                        <w:rPr>
                          <w:rFonts w:ascii="Verdana" w:hAnsi="Verdana"/>
                          <w:sz w:val="20"/>
                          <w:szCs w:val="20"/>
                        </w:rPr>
                        <w:t>, Sonnen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-</w:t>
                      </w:r>
                      <w:r w:rsidRPr="00E80662">
                        <w:rPr>
                          <w:rFonts w:ascii="Verdana" w:hAnsi="Verdana"/>
                          <w:sz w:val="20"/>
                          <w:szCs w:val="20"/>
                        </w:rPr>
                        <w:t>schutzmittel etc.)</w:t>
                      </w:r>
                    </w:p>
                    <w:p w:rsidR="00E80662" w:rsidRDefault="00E80662"/>
                  </w:txbxContent>
                </v:textbox>
                <w10:wrap type="tight"/>
              </v:shape>
            </w:pict>
          </mc:Fallback>
        </mc:AlternateContent>
      </w:r>
      <w:r w:rsidR="001E0F8B" w:rsidRPr="001E0F8B">
        <w:rPr>
          <w:rFonts w:ascii="Verdana" w:hAnsi="Verdana"/>
          <w:sz w:val="20"/>
          <w:szCs w:val="20"/>
        </w:rPr>
        <w:t>Hier ein Auszug der wichtigsten Problemstoffe:</w:t>
      </w:r>
    </w:p>
    <w:p w:rsidR="001E0F8B" w:rsidRPr="001727C6" w:rsidRDefault="00AE44B7" w:rsidP="00751585">
      <w:pPr>
        <w:spacing w:line="240" w:lineRule="auto"/>
        <w:rPr>
          <w:rFonts w:ascii="Verdana" w:hAnsi="Verdana"/>
          <w:b/>
          <w:szCs w:val="20"/>
        </w:rPr>
      </w:pPr>
      <w:r w:rsidRPr="001727C6">
        <w:rPr>
          <w:rFonts w:ascii="Verdana" w:hAnsi="Verdana"/>
          <w:b/>
          <w:szCs w:val="20"/>
        </w:rPr>
        <w:lastRenderedPageBreak/>
        <w:t>Was gehört nicht in die Problemstoffsammlung?</w:t>
      </w:r>
    </w:p>
    <w:p w:rsidR="001727C6" w:rsidRPr="001727C6" w:rsidRDefault="001727C6" w:rsidP="001727C6">
      <w:pPr>
        <w:pStyle w:val="Listenabsatz"/>
        <w:numPr>
          <w:ilvl w:val="0"/>
          <w:numId w:val="6"/>
        </w:num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Medikamentenfläschchen </w:t>
      </w:r>
      <w:r w:rsidR="004B4543">
        <w:rPr>
          <w:rFonts w:ascii="Verdana" w:hAnsi="Verdana"/>
          <w:sz w:val="20"/>
          <w:szCs w:val="20"/>
        </w:rPr>
        <w:t>und –</w:t>
      </w:r>
      <w:proofErr w:type="spellStart"/>
      <w:r w:rsidR="004B4543">
        <w:rPr>
          <w:rFonts w:ascii="Verdana" w:hAnsi="Verdana"/>
          <w:sz w:val="20"/>
          <w:szCs w:val="20"/>
        </w:rPr>
        <w:t>blister</w:t>
      </w:r>
      <w:proofErr w:type="spellEnd"/>
      <w:r w:rsidR="004B454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(restentleert)</w:t>
      </w:r>
    </w:p>
    <w:p w:rsidR="001727C6" w:rsidRPr="001727C6" w:rsidRDefault="001727C6" w:rsidP="001727C6">
      <w:pPr>
        <w:pStyle w:val="Listenabsatz"/>
        <w:numPr>
          <w:ilvl w:val="0"/>
          <w:numId w:val="6"/>
        </w:numPr>
        <w:spacing w:line="240" w:lineRule="auto"/>
        <w:rPr>
          <w:rFonts w:ascii="Verdana" w:hAnsi="Verdana"/>
          <w:sz w:val="20"/>
          <w:szCs w:val="20"/>
        </w:rPr>
      </w:pPr>
      <w:r w:rsidRPr="001727C6">
        <w:rPr>
          <w:rFonts w:ascii="Verdana" w:hAnsi="Verdana"/>
          <w:sz w:val="20"/>
          <w:szCs w:val="20"/>
        </w:rPr>
        <w:t>Leere Gebinde (z.B. Kunststoffflaschen von Kosmetika, Reinigungsmittel, etc.)</w:t>
      </w:r>
    </w:p>
    <w:p w:rsidR="00FC75EE" w:rsidRPr="00FC75EE" w:rsidRDefault="00FC75EE" w:rsidP="00FC75EE">
      <w:pPr>
        <w:pStyle w:val="Listenabsatz"/>
        <w:numPr>
          <w:ilvl w:val="0"/>
          <w:numId w:val="6"/>
        </w:numPr>
        <w:spacing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sz w:val="20"/>
          <w:szCs w:val="20"/>
        </w:rPr>
        <w:t>Leere Pumpzerstäuber</w:t>
      </w:r>
    </w:p>
    <w:p w:rsidR="00FC75EE" w:rsidRPr="00FC75EE" w:rsidRDefault="00FC75EE" w:rsidP="00FC75EE">
      <w:pPr>
        <w:pStyle w:val="Listenabsatz"/>
        <w:spacing w:line="240" w:lineRule="auto"/>
        <w:rPr>
          <w:rFonts w:ascii="Verdana" w:hAnsi="Verdana"/>
          <w:b/>
          <w:szCs w:val="20"/>
        </w:rPr>
      </w:pPr>
    </w:p>
    <w:p w:rsidR="001E0F8B" w:rsidRPr="00FC75EE" w:rsidRDefault="001E0F8B" w:rsidP="00FC75EE">
      <w:pPr>
        <w:spacing w:line="240" w:lineRule="auto"/>
        <w:rPr>
          <w:rFonts w:ascii="Verdana" w:hAnsi="Verdana"/>
          <w:b/>
          <w:szCs w:val="20"/>
        </w:rPr>
      </w:pPr>
      <w:r w:rsidRPr="00FC75EE">
        <w:rPr>
          <w:rFonts w:ascii="Verdana" w:hAnsi="Verdana"/>
          <w:b/>
          <w:szCs w:val="20"/>
        </w:rPr>
        <w:t>Vermeiden Sie unnötige Problemstoffe!</w:t>
      </w:r>
    </w:p>
    <w:p w:rsidR="001E0F8B" w:rsidRPr="001E0F8B" w:rsidRDefault="001E0F8B" w:rsidP="001E0F8B">
      <w:pPr>
        <w:spacing w:line="240" w:lineRule="auto"/>
        <w:rPr>
          <w:rFonts w:ascii="Verdana" w:hAnsi="Verdana"/>
          <w:sz w:val="20"/>
          <w:szCs w:val="20"/>
        </w:rPr>
      </w:pPr>
      <w:r w:rsidRPr="001E0F8B">
        <w:rPr>
          <w:rFonts w:ascii="Verdana" w:hAnsi="Verdana"/>
          <w:sz w:val="20"/>
          <w:szCs w:val="20"/>
        </w:rPr>
        <w:t>Im Haushalt:</w:t>
      </w:r>
      <w:r>
        <w:rPr>
          <w:rFonts w:ascii="Verdana" w:hAnsi="Verdana"/>
          <w:sz w:val="20"/>
          <w:szCs w:val="20"/>
        </w:rPr>
        <w:t xml:space="preserve"> </w:t>
      </w:r>
      <w:r w:rsidRPr="001E0F8B">
        <w:rPr>
          <w:rFonts w:ascii="Verdana" w:hAnsi="Verdana"/>
          <w:sz w:val="20"/>
          <w:szCs w:val="20"/>
        </w:rPr>
        <w:t>Chlorhaltige und höchst aggressive Sanitärreiniger ersetzt man durch Wasser und Schmierseife. Essig, mit Wasser verdünnt entfernt zuverlässig Kalk und Urinstein</w:t>
      </w:r>
    </w:p>
    <w:p w:rsidR="001E0F8B" w:rsidRPr="001E0F8B" w:rsidRDefault="001E0F8B" w:rsidP="001E0F8B">
      <w:pPr>
        <w:spacing w:line="240" w:lineRule="auto"/>
        <w:rPr>
          <w:rFonts w:ascii="Verdana" w:hAnsi="Verdana"/>
          <w:sz w:val="20"/>
          <w:szCs w:val="20"/>
        </w:rPr>
      </w:pPr>
      <w:r w:rsidRPr="001E0F8B">
        <w:rPr>
          <w:rFonts w:ascii="Verdana" w:hAnsi="Verdana"/>
          <w:sz w:val="20"/>
          <w:szCs w:val="20"/>
        </w:rPr>
        <w:t>Beim Heimwerkern:</w:t>
      </w:r>
      <w:r>
        <w:rPr>
          <w:rFonts w:ascii="Verdana" w:hAnsi="Verdana"/>
          <w:sz w:val="20"/>
          <w:szCs w:val="20"/>
        </w:rPr>
        <w:t xml:space="preserve"> </w:t>
      </w:r>
      <w:r w:rsidRPr="001E0F8B">
        <w:rPr>
          <w:rFonts w:ascii="Verdana" w:hAnsi="Verdana"/>
          <w:sz w:val="20"/>
          <w:szCs w:val="20"/>
        </w:rPr>
        <w:t>Kaufen Sie nur so viele Farben und Lacke, wie Sie tatsächlich benötigen. Berechnen Sie die Fläche, die gestrichen werden soll, möglichst genau.</w:t>
      </w:r>
    </w:p>
    <w:p w:rsidR="001E0F8B" w:rsidRPr="001E0F8B" w:rsidRDefault="001E0F8B" w:rsidP="001E0F8B">
      <w:pPr>
        <w:spacing w:line="240" w:lineRule="auto"/>
        <w:rPr>
          <w:rFonts w:ascii="Verdana" w:hAnsi="Verdana"/>
          <w:sz w:val="20"/>
          <w:szCs w:val="20"/>
        </w:rPr>
      </w:pPr>
      <w:r w:rsidRPr="001E0F8B">
        <w:rPr>
          <w:rFonts w:ascii="Verdana" w:hAnsi="Verdana"/>
          <w:sz w:val="20"/>
          <w:szCs w:val="20"/>
        </w:rPr>
        <w:t>Besonders umweltfreundliche Farben und Lacke erkennen Sie am „Österreichischen Umweltzeichen“.</w:t>
      </w:r>
    </w:p>
    <w:p w:rsidR="001E0F8B" w:rsidRDefault="001E0F8B" w:rsidP="001E0F8B">
      <w:pPr>
        <w:spacing w:line="240" w:lineRule="auto"/>
        <w:rPr>
          <w:rFonts w:ascii="Verdana" w:hAnsi="Verdana"/>
          <w:sz w:val="20"/>
          <w:szCs w:val="20"/>
        </w:rPr>
      </w:pPr>
    </w:p>
    <w:p w:rsidR="001E0F8B" w:rsidRPr="001E0F8B" w:rsidRDefault="00FC75EE" w:rsidP="001E0F8B">
      <w:pPr>
        <w:spacing w:line="240" w:lineRule="auto"/>
        <w:rPr>
          <w:rFonts w:ascii="Verdana" w:hAnsi="Verdana"/>
          <w:sz w:val="20"/>
          <w:szCs w:val="20"/>
        </w:rPr>
      </w:pPr>
      <w:r w:rsidRPr="001727C6">
        <w:rPr>
          <w:rFonts w:ascii="Verdana" w:hAnsi="Verdana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0B601" wp14:editId="3FC32638">
                <wp:simplePos x="0" y="0"/>
                <wp:positionH relativeFrom="column">
                  <wp:posOffset>-80286</wp:posOffset>
                </wp:positionH>
                <wp:positionV relativeFrom="paragraph">
                  <wp:posOffset>107543</wp:posOffset>
                </wp:positionV>
                <wp:extent cx="5011420" cy="1224951"/>
                <wp:effectExtent l="0" t="0" r="17780" b="133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1420" cy="1224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7C6" w:rsidRPr="00FC75EE" w:rsidRDefault="001727C6">
                            <w:pPr>
                              <w:rPr>
                                <w:b/>
                              </w:rPr>
                            </w:pPr>
                            <w:r w:rsidRPr="00FC75EE">
                              <w:rPr>
                                <w:b/>
                              </w:rPr>
                              <w:t xml:space="preserve">Rücknahmeverpflichtung </w:t>
                            </w:r>
                            <w:r w:rsidR="00FC75EE" w:rsidRPr="00FC75EE">
                              <w:rPr>
                                <w:b/>
                              </w:rPr>
                              <w:t>vom Handel</w:t>
                            </w:r>
                            <w:r w:rsidRPr="00FC75EE">
                              <w:rPr>
                                <w:b/>
                              </w:rPr>
                              <w:t xml:space="preserve"> wahrnehmen!</w:t>
                            </w:r>
                          </w:p>
                          <w:p w:rsidR="00FC75EE" w:rsidRDefault="001727C6">
                            <w:r>
                              <w:t xml:space="preserve">Bei einigen Produkten gibt es ein Rückgaberecht seitens der Konsumenten. In diesem Fall ist im Kaufpreis der Entsorgungsbeitrag bereits enthalten. </w:t>
                            </w:r>
                            <w:r w:rsidR="00FC75EE">
                              <w:t xml:space="preserve">So können z.B. gebrauchte Batterien, Lampen, Akkus, Motoröl und auch Medikamente (freiwillige Rücknahme durch Apotheken) kostenlos vom Handel entgegen genommen werden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3pt;margin-top:8.45pt;width:394.6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">
                <v:stroke dashstyle="3 1"/>
                <v:textbox>
                  <w:txbxContent>
                    <w:p w:rsidR="001727C6" w:rsidRPr="00FC75EE" w:rsidRDefault="001727C6">
                      <w:pPr>
                        <w:rPr>
                          <w:b/>
                        </w:rPr>
                      </w:pPr>
                      <w:r w:rsidRPr="00FC75EE">
                        <w:rPr>
                          <w:b/>
                        </w:rPr>
                        <w:t xml:space="preserve">Rücknahmeverpflichtung </w:t>
                      </w:r>
                      <w:r w:rsidR="00FC75EE" w:rsidRPr="00FC75EE">
                        <w:rPr>
                          <w:b/>
                        </w:rPr>
                        <w:t>vom Handel</w:t>
                      </w:r>
                      <w:r w:rsidRPr="00FC75EE">
                        <w:rPr>
                          <w:b/>
                        </w:rPr>
                        <w:t xml:space="preserve"> wahrnehmen!</w:t>
                      </w:r>
                    </w:p>
                    <w:p w:rsidR="00FC75EE" w:rsidRDefault="001727C6">
                      <w:r>
                        <w:t xml:space="preserve">Bei einigen Produkten gibt es ein Rückgaberecht seitens der Konsumenten. In diesem Fall ist im Kaufpreis der Entsorgungsbeitrag bereits enthalten. </w:t>
                      </w:r>
                      <w:r w:rsidR="00FC75EE">
                        <w:t xml:space="preserve">So können z.B. gebrauchte Batterien, Lampen, Akkus, Motoröl und auch Medikamente (freiwillige Rücknahme durch Apotheken) kostenlos vom Handel entgegen genommen werden </w:t>
                      </w:r>
                    </w:p>
                  </w:txbxContent>
                </v:textbox>
              </v:shape>
            </w:pict>
          </mc:Fallback>
        </mc:AlternateContent>
      </w:r>
    </w:p>
    <w:p w:rsidR="001E0F8B" w:rsidRPr="001E0F8B" w:rsidRDefault="001E0F8B" w:rsidP="001E0F8B">
      <w:pPr>
        <w:spacing w:line="240" w:lineRule="auto"/>
        <w:rPr>
          <w:rFonts w:ascii="Verdana" w:hAnsi="Verdana"/>
          <w:sz w:val="20"/>
          <w:szCs w:val="20"/>
        </w:rPr>
      </w:pPr>
    </w:p>
    <w:p w:rsidR="00413B50" w:rsidRPr="001E0F8B" w:rsidRDefault="00413B50" w:rsidP="001E0F8B">
      <w:pPr>
        <w:spacing w:line="240" w:lineRule="auto"/>
        <w:rPr>
          <w:rFonts w:ascii="Verdana" w:hAnsi="Verdana"/>
          <w:sz w:val="20"/>
          <w:szCs w:val="20"/>
        </w:rPr>
      </w:pPr>
    </w:p>
    <w:sectPr w:rsidR="00413B50" w:rsidRPr="001E0F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14"/>
    <w:multiLevelType w:val="hybridMultilevel"/>
    <w:tmpl w:val="08367E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F1540"/>
    <w:multiLevelType w:val="hybridMultilevel"/>
    <w:tmpl w:val="B7664424"/>
    <w:lvl w:ilvl="0" w:tplc="4D029614">
      <w:numFmt w:val="bullet"/>
      <w:lvlText w:val="•"/>
      <w:lvlJc w:val="left"/>
      <w:pPr>
        <w:ind w:left="720" w:hanging="360"/>
      </w:pPr>
      <w:rPr>
        <w:rFonts w:ascii="Brush Script MT" w:hAnsi="Brush Script MT" w:hint="default"/>
        <w:u w:color="F4940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26B36"/>
    <w:multiLevelType w:val="hybridMultilevel"/>
    <w:tmpl w:val="AD38AE4C"/>
    <w:lvl w:ilvl="0" w:tplc="4D029614">
      <w:numFmt w:val="bullet"/>
      <w:lvlText w:val="•"/>
      <w:lvlJc w:val="left"/>
      <w:pPr>
        <w:ind w:left="360" w:hanging="360"/>
      </w:pPr>
      <w:rPr>
        <w:rFonts w:ascii="Brush Script MT" w:hAnsi="Brush Script MT" w:hint="default"/>
        <w:u w:color="F4940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8075C"/>
    <w:multiLevelType w:val="hybridMultilevel"/>
    <w:tmpl w:val="2CD448D2"/>
    <w:lvl w:ilvl="0" w:tplc="D1A898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415DC"/>
    <w:multiLevelType w:val="hybridMultilevel"/>
    <w:tmpl w:val="8398FA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C52F0"/>
    <w:multiLevelType w:val="multilevel"/>
    <w:tmpl w:val="FF56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C4766"/>
    <w:multiLevelType w:val="hybridMultilevel"/>
    <w:tmpl w:val="C04E0F30"/>
    <w:lvl w:ilvl="0" w:tplc="4D029614">
      <w:numFmt w:val="bullet"/>
      <w:lvlText w:val="•"/>
      <w:lvlJc w:val="left"/>
      <w:pPr>
        <w:ind w:left="360" w:hanging="360"/>
      </w:pPr>
      <w:rPr>
        <w:rFonts w:ascii="Brush Script MT" w:hAnsi="Brush Script MT" w:hint="default"/>
        <w:u w:color="F4940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AA294B"/>
    <w:multiLevelType w:val="multilevel"/>
    <w:tmpl w:val="A1C8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8B"/>
    <w:rsid w:val="001727C6"/>
    <w:rsid w:val="00186DEA"/>
    <w:rsid w:val="001E0F8B"/>
    <w:rsid w:val="00413B50"/>
    <w:rsid w:val="004B4543"/>
    <w:rsid w:val="00751585"/>
    <w:rsid w:val="009065AF"/>
    <w:rsid w:val="00AE44B7"/>
    <w:rsid w:val="00C9022F"/>
    <w:rsid w:val="00D310F3"/>
    <w:rsid w:val="00E80662"/>
    <w:rsid w:val="00F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F8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0F8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065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5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5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5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5AF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AE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AE4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F8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0F8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065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5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5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5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5AF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AE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AE4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Morbach</dc:creator>
  <cp:lastModifiedBy>Annemarie Morbach</cp:lastModifiedBy>
  <cp:revision>7</cp:revision>
  <cp:lastPrinted>2013-07-04T07:15:00Z</cp:lastPrinted>
  <dcterms:created xsi:type="dcterms:W3CDTF">2013-07-03T14:43:00Z</dcterms:created>
  <dcterms:modified xsi:type="dcterms:W3CDTF">2014-02-19T10:18:00Z</dcterms:modified>
</cp:coreProperties>
</file>