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938EA" w14:textId="77777777" w:rsidR="0087735F" w:rsidRDefault="0087735F" w:rsidP="0023122D">
      <w:pPr>
        <w:pStyle w:val="berschrift3"/>
        <w:jc w:val="left"/>
      </w:pPr>
    </w:p>
    <w:p w14:paraId="7AF93CB3" w14:textId="77777777" w:rsidR="00EF58E8" w:rsidRDefault="00503EFF" w:rsidP="0023122D">
      <w:pPr>
        <w:pStyle w:val="berschrift3"/>
        <w:jc w:val="left"/>
      </w:pPr>
      <w:r>
        <w:t>Vorschlag für Beitrag in Ihren Gemeindemedien</w:t>
      </w:r>
    </w:p>
    <w:p w14:paraId="469A9B1C" w14:textId="117361A5" w:rsidR="0087735F" w:rsidRDefault="0087735F" w:rsidP="0023122D">
      <w:pPr>
        <w:jc w:val="left"/>
      </w:pPr>
    </w:p>
    <w:p w14:paraId="1275B86F" w14:textId="2E63B016" w:rsidR="00620092" w:rsidRPr="00620092" w:rsidRDefault="00620092" w:rsidP="0023122D">
      <w:pPr>
        <w:jc w:val="left"/>
        <w:rPr>
          <w:i/>
          <w:color w:val="FF0000"/>
        </w:rPr>
      </w:pPr>
      <w:r w:rsidRPr="008D1743">
        <w:rPr>
          <w:i/>
          <w:color w:val="FF0000"/>
          <w:highlight w:val="yellow"/>
        </w:rPr>
        <w:t>----Für Gemeinden mit gemischter Sammlung---</w:t>
      </w:r>
    </w:p>
    <w:p w14:paraId="6C52CF21" w14:textId="77777777" w:rsidR="00620092" w:rsidRDefault="00620092" w:rsidP="0023122D">
      <w:pPr>
        <w:jc w:val="left"/>
      </w:pPr>
    </w:p>
    <w:p w14:paraId="2FAE6137" w14:textId="56FB88F4" w:rsidR="00E75833" w:rsidRPr="00593B80" w:rsidRDefault="00593B80" w:rsidP="0023122D">
      <w:pPr>
        <w:jc w:val="left"/>
        <w:rPr>
          <w:b/>
        </w:rPr>
      </w:pPr>
      <w:r>
        <w:rPr>
          <w:b/>
        </w:rPr>
        <w:t xml:space="preserve">Tipps für den Umgang mit Altpapier und Kartonagen </w:t>
      </w:r>
    </w:p>
    <w:p w14:paraId="4FD4349A" w14:textId="77777777" w:rsidR="009D2ABF" w:rsidRDefault="009D2ABF" w:rsidP="0023122D">
      <w:pPr>
        <w:jc w:val="left"/>
        <w:rPr>
          <w:b/>
        </w:rPr>
      </w:pPr>
    </w:p>
    <w:p w14:paraId="422B4107" w14:textId="2DCE7D70" w:rsidR="00593B80" w:rsidRDefault="00593B80" w:rsidP="0023122D">
      <w:pPr>
        <w:jc w:val="left"/>
      </w:pPr>
      <w:r>
        <w:t xml:space="preserve">Online- und Versandhandel boomen – und das nicht erst seit Corona. Eine Folge davon sind große Mengen an Kartonverpackungen, die in unseren Haushalten anfallen und entsorgt werden müssen. Karton </w:t>
      </w:r>
      <w:r w:rsidR="00266B16">
        <w:t xml:space="preserve">und auch </w:t>
      </w:r>
      <w:r w:rsidR="00266B16" w:rsidRPr="00596172">
        <w:t xml:space="preserve">Altpapier </w:t>
      </w:r>
      <w:r w:rsidRPr="00596172">
        <w:t>sind Materialien, die sich sehr gut recyceln lassen. Vorausgesetzt</w:t>
      </w:r>
      <w:r w:rsidR="00A36552" w:rsidRPr="00596172">
        <w:t>,</w:t>
      </w:r>
      <w:r w:rsidRPr="00596172">
        <w:t xml:space="preserve"> sie werden richtig getrennt. </w:t>
      </w:r>
      <w:r w:rsidR="00620092" w:rsidRPr="00596172">
        <w:t xml:space="preserve">In </w:t>
      </w:r>
      <w:r w:rsidR="00620092" w:rsidRPr="00596172">
        <w:rPr>
          <w:color w:val="FF0000"/>
        </w:rPr>
        <w:t xml:space="preserve">[Gemeindename] </w:t>
      </w:r>
      <w:r w:rsidR="00620092" w:rsidRPr="00596172">
        <w:t>werden Altpapier und Karton gemeinsam in derselben Tonne gesammelt. Dennoch ist es sinnvoll, zumindest die großen, braunen Versandkartons kostenlos am Recyclinghof abzugeben.</w:t>
      </w:r>
      <w:r w:rsidR="00620092">
        <w:t xml:space="preserve"> </w:t>
      </w:r>
    </w:p>
    <w:p w14:paraId="535D12A3" w14:textId="34A0D181" w:rsidR="00757C9B" w:rsidRDefault="00757C9B" w:rsidP="0023122D">
      <w:pPr>
        <w:jc w:val="left"/>
      </w:pPr>
    </w:p>
    <w:p w14:paraId="7E7E3C82" w14:textId="04D3E43A" w:rsidR="003C39FD" w:rsidRDefault="00757C9B" w:rsidP="0023122D">
      <w:pPr>
        <w:jc w:val="left"/>
      </w:pPr>
      <w:r>
        <w:t>Bei Karton und Altpapier ist die Sammelquote in Tirol insgesamt sehr gut. Die Restmüllanalyse 2018/19 des Landes Tirol hat gezeigt, dass fast 90 Prozent über die dafür vorgesehenen Entsorgungswege gesammelt werden. In absoluten Zahlen bedeutet das aber, dass noch knapp 7.500 Tonnen im Restmüll landen. Damit geht es für den Recyclingkreislauf verloren und zugleich entstehen höhere Kosten – für alle</w:t>
      </w:r>
      <w:r w:rsidR="00006CFB">
        <w:t>.</w:t>
      </w:r>
      <w:bookmarkStart w:id="0" w:name="_GoBack"/>
      <w:bookmarkEnd w:id="0"/>
      <w:r w:rsidR="000B57E7">
        <w:t xml:space="preserve"> </w:t>
      </w:r>
    </w:p>
    <w:p w14:paraId="4BE44BA0" w14:textId="77777777" w:rsidR="003C39FD" w:rsidRDefault="003C39FD" w:rsidP="0023122D">
      <w:pPr>
        <w:jc w:val="left"/>
      </w:pPr>
    </w:p>
    <w:p w14:paraId="10361178" w14:textId="2603F1D2" w:rsidR="00A31FCF" w:rsidRDefault="002F7DE3" w:rsidP="0023122D">
      <w:pPr>
        <w:jc w:val="left"/>
      </w:pPr>
      <w:r>
        <w:t xml:space="preserve">Hier ein paar einfache Tipps und Informationen </w:t>
      </w:r>
      <w:r w:rsidR="00A36552">
        <w:t>zur Sammlung von Altpapier und Karton</w:t>
      </w:r>
      <w:r>
        <w:t xml:space="preserve"> – weil richtige Abfalltrennung der Umwelt und dem Geldbeutel gut tut</w:t>
      </w:r>
      <w:r w:rsidR="00A31FCF">
        <w:t>:</w:t>
      </w:r>
    </w:p>
    <w:p w14:paraId="3A1A363A" w14:textId="77777777" w:rsidR="00A36552" w:rsidRDefault="00A36552" w:rsidP="00B32B43">
      <w:pPr>
        <w:pStyle w:val="Listenabsatz"/>
        <w:numPr>
          <w:ilvl w:val="0"/>
          <w:numId w:val="28"/>
        </w:numPr>
        <w:jc w:val="left"/>
      </w:pPr>
      <w:r>
        <w:t>Verpackungskartons sollten immer flach gefaltet werden, um den Platz in der Tonne möglichst gut auszunutzen.</w:t>
      </w:r>
    </w:p>
    <w:p w14:paraId="48B8C71A" w14:textId="77777777" w:rsidR="00D618A0" w:rsidRDefault="00D618A0" w:rsidP="00D618A0">
      <w:pPr>
        <w:pStyle w:val="Listenabsatz"/>
        <w:numPr>
          <w:ilvl w:val="0"/>
          <w:numId w:val="28"/>
        </w:numPr>
        <w:jc w:val="left"/>
      </w:pPr>
      <w:r>
        <w:t>Füllmaterial wie Luftpolsterfolie oder Styropor sind vor der Entsorgung bitte aus Verpackungskartons zu entfernen.</w:t>
      </w:r>
    </w:p>
    <w:p w14:paraId="5251DFA8" w14:textId="4CF84A7B" w:rsidR="008A06AD" w:rsidRDefault="00B137C6" w:rsidP="00B137C6">
      <w:pPr>
        <w:pStyle w:val="Listenabsatz"/>
        <w:numPr>
          <w:ilvl w:val="0"/>
          <w:numId w:val="28"/>
        </w:numPr>
        <w:jc w:val="left"/>
      </w:pPr>
      <w:r>
        <w:t>Bei der korrekten Zuordnung mancher Abfälle sind sich s</w:t>
      </w:r>
      <w:r w:rsidR="00696842">
        <w:t xml:space="preserve">elbst erfahrene Abfalltrenner </w:t>
      </w:r>
      <w:r>
        <w:t>unsicher. So geht’s richtig</w:t>
      </w:r>
      <w:r w:rsidR="00696842">
        <w:t xml:space="preserve">: </w:t>
      </w:r>
    </w:p>
    <w:p w14:paraId="40F948D8" w14:textId="77777777" w:rsidR="00266B16" w:rsidRDefault="00266B16" w:rsidP="00266B16">
      <w:pPr>
        <w:pStyle w:val="Listenabsatz"/>
        <w:numPr>
          <w:ilvl w:val="1"/>
          <w:numId w:val="28"/>
        </w:numPr>
        <w:jc w:val="left"/>
      </w:pPr>
      <w:r w:rsidRPr="008A06AD">
        <w:rPr>
          <w:b/>
        </w:rPr>
        <w:t>Milch- und andere Getränkekartons</w:t>
      </w:r>
      <w:r>
        <w:t xml:space="preserve"> gehören in den Gelben Sack bzw. die Gelbe Tonne – sie haben im Inneren eine Beschichtung. Dasselbe gilt häufig für </w:t>
      </w:r>
      <w:r w:rsidRPr="008A06AD">
        <w:rPr>
          <w:b/>
        </w:rPr>
        <w:t>Tiefkühlverpackungen</w:t>
      </w:r>
      <w:r>
        <w:t>. Hier ist ausschlaggebend, ob sich auf der Schachtel der Hinweis „Gefaltet zum Altpapier/Karton“ befindet. Wenn nicht, gehört sie zur Kunststoffsammlung.</w:t>
      </w:r>
    </w:p>
    <w:p w14:paraId="54C3BF71" w14:textId="61A72194" w:rsidR="00266B16" w:rsidRDefault="00266B16" w:rsidP="00266B16">
      <w:pPr>
        <w:pStyle w:val="Listenabsatz"/>
        <w:numPr>
          <w:ilvl w:val="1"/>
          <w:numId w:val="28"/>
        </w:numPr>
        <w:jc w:val="left"/>
      </w:pPr>
      <w:r>
        <w:t xml:space="preserve">Was tun mit Kuverts, Brotsackerln und Kartons </w:t>
      </w:r>
      <w:r w:rsidRPr="005212FB">
        <w:rPr>
          <w:b/>
        </w:rPr>
        <w:t>mit Plastiksichtfenster</w:t>
      </w:r>
      <w:r>
        <w:t xml:space="preserve">? </w:t>
      </w:r>
      <w:r w:rsidR="00757C9B">
        <w:t xml:space="preserve">Sie </w:t>
      </w:r>
      <w:r>
        <w:t>dürfen auch mit Sichtfenster zum Altpapie</w:t>
      </w:r>
      <w:r w:rsidR="00757C9B">
        <w:t>r bzw. Karton.</w:t>
      </w:r>
      <w:r>
        <w:t xml:space="preserve"> Wenn das Plastik leicht vom Papier bzw. Karton zu trennen ist, schadet natürlich auch die getrennte Entsorgung nicht!</w:t>
      </w:r>
    </w:p>
    <w:p w14:paraId="24092E16" w14:textId="77777777" w:rsidR="00266B16" w:rsidRPr="00D85A3D" w:rsidRDefault="00266B16" w:rsidP="00266B16">
      <w:pPr>
        <w:pStyle w:val="Listenabsatz"/>
        <w:numPr>
          <w:ilvl w:val="1"/>
          <w:numId w:val="28"/>
        </w:numPr>
        <w:jc w:val="left"/>
      </w:pPr>
      <w:r>
        <w:t xml:space="preserve">Anders ist die Lage beim </w:t>
      </w:r>
      <w:r w:rsidRPr="005212FB">
        <w:rPr>
          <w:b/>
        </w:rPr>
        <w:t>Joghurtbecher mit Kartonummantelung:</w:t>
      </w:r>
      <w:r>
        <w:t xml:space="preserve"> Nur, wenn der Kartonmantel entfernt und getrennt entsorgt wird, können die Bestandteile gut recycelt werden. </w:t>
      </w:r>
    </w:p>
    <w:p w14:paraId="2182FF3F" w14:textId="5C9F5767" w:rsidR="008A06AD" w:rsidRDefault="00696842" w:rsidP="008A06AD">
      <w:pPr>
        <w:pStyle w:val="Listenabsatz"/>
        <w:numPr>
          <w:ilvl w:val="1"/>
          <w:numId w:val="28"/>
        </w:numPr>
        <w:jc w:val="left"/>
      </w:pPr>
      <w:r w:rsidRPr="00696842">
        <w:rPr>
          <w:b/>
        </w:rPr>
        <w:t>Kassenbons</w:t>
      </w:r>
      <w:r>
        <w:t xml:space="preserve"> gehören in den Restmüll, da sie aus Thermopapier bestehen. </w:t>
      </w:r>
      <w:r w:rsidRPr="00696842">
        <w:rPr>
          <w:b/>
        </w:rPr>
        <w:t>Servietten,</w:t>
      </w:r>
      <w:r>
        <w:t xml:space="preserve"> </w:t>
      </w:r>
      <w:r w:rsidRPr="00696842">
        <w:rPr>
          <w:b/>
        </w:rPr>
        <w:t>Küchenrollen</w:t>
      </w:r>
      <w:r>
        <w:t xml:space="preserve"> oder </w:t>
      </w:r>
      <w:r w:rsidRPr="00696842">
        <w:rPr>
          <w:b/>
        </w:rPr>
        <w:t>Taschentücher</w:t>
      </w:r>
      <w:r>
        <w:t xml:space="preserve"> sind ebenfalls ein Fall für den Restmüll. Die sogenannte „Wickelhülse“ – also die Kartonrolle, um die </w:t>
      </w:r>
      <w:r w:rsidR="00D62473">
        <w:t>z.B. Toiletten</w:t>
      </w:r>
      <w:r>
        <w:t xml:space="preserve">papier gewickelt ist, darf zum Karton. </w:t>
      </w:r>
      <w:r w:rsidR="005212FB">
        <w:t>A</w:t>
      </w:r>
      <w:r w:rsidR="00392D01">
        <w:t xml:space="preserve">lte </w:t>
      </w:r>
      <w:r w:rsidR="00392D01" w:rsidRPr="00392D01">
        <w:rPr>
          <w:b/>
        </w:rPr>
        <w:t>Foto</w:t>
      </w:r>
      <w:r w:rsidR="00392D01">
        <w:rPr>
          <w:b/>
        </w:rPr>
        <w:t xml:space="preserve">s </w:t>
      </w:r>
      <w:r w:rsidR="005212FB">
        <w:t>müssen</w:t>
      </w:r>
      <w:r w:rsidR="00392D01">
        <w:t xml:space="preserve"> in den Restmüll. </w:t>
      </w:r>
    </w:p>
    <w:p w14:paraId="1BEA57F9" w14:textId="55FA7C7A" w:rsidR="00D61713" w:rsidRDefault="00D61713" w:rsidP="0023122D">
      <w:pPr>
        <w:pStyle w:val="Listenabsatz"/>
        <w:numPr>
          <w:ilvl w:val="0"/>
          <w:numId w:val="28"/>
        </w:numPr>
        <w:jc w:val="left"/>
        <w:rPr>
          <w:b/>
        </w:rPr>
      </w:pPr>
      <w:r>
        <w:t xml:space="preserve">Beim Kauf eines verpackten Produkts ist im Kaufpreis </w:t>
      </w:r>
      <w:r w:rsidR="00BD2229">
        <w:t xml:space="preserve">indirekt </w:t>
      </w:r>
      <w:r>
        <w:t xml:space="preserve">ein Entsorgungsbeitrag enthalten. Landen die Verpackungen dann im Restmüll, </w:t>
      </w:r>
      <w:r w:rsidR="00514006" w:rsidRPr="00514006">
        <w:rPr>
          <w:b/>
        </w:rPr>
        <w:t>be</w:t>
      </w:r>
      <w:r w:rsidR="00954EEC" w:rsidRPr="00954EEC">
        <w:rPr>
          <w:b/>
        </w:rPr>
        <w:t xml:space="preserve">zahlt man </w:t>
      </w:r>
      <w:r w:rsidR="00514006">
        <w:rPr>
          <w:b/>
        </w:rPr>
        <w:t xml:space="preserve">die Entsorgung </w:t>
      </w:r>
      <w:r w:rsidR="00835B55">
        <w:rPr>
          <w:b/>
        </w:rPr>
        <w:t xml:space="preserve">quasi </w:t>
      </w:r>
      <w:r w:rsidR="00514006">
        <w:rPr>
          <w:b/>
        </w:rPr>
        <w:t>ein weiteres Mal</w:t>
      </w:r>
      <w:r w:rsidR="00954EEC">
        <w:rPr>
          <w:b/>
        </w:rPr>
        <w:t>!</w:t>
      </w:r>
    </w:p>
    <w:p w14:paraId="585F7468" w14:textId="64BAF2D5" w:rsidR="006D14FD" w:rsidRDefault="00954EEC" w:rsidP="006D14FD">
      <w:pPr>
        <w:pStyle w:val="Listenabsatz"/>
        <w:numPr>
          <w:ilvl w:val="0"/>
          <w:numId w:val="28"/>
        </w:numPr>
        <w:jc w:val="left"/>
      </w:pPr>
      <w:r>
        <w:lastRenderedPageBreak/>
        <w:t>D</w:t>
      </w:r>
      <w:r w:rsidR="002B3B84">
        <w:t>ie Abfuhr und Behandlung von Restmüll sind im Vergleich zu anderen Abfallarten</w:t>
      </w:r>
      <w:r w:rsidR="002B3B84" w:rsidRPr="002B3B84">
        <w:t xml:space="preserve"> </w:t>
      </w:r>
      <w:r w:rsidR="002B3B84">
        <w:t xml:space="preserve">teurer. Je weniger Restmüll anfällt, desto </w:t>
      </w:r>
      <w:r w:rsidR="002B3B84" w:rsidRPr="001C4519">
        <w:rPr>
          <w:b/>
        </w:rPr>
        <w:t>niedriger</w:t>
      </w:r>
      <w:r w:rsidR="002B3B84">
        <w:t xml:space="preserve"> können auch die </w:t>
      </w:r>
      <w:r w:rsidR="002B3B84" w:rsidRPr="001C4519">
        <w:rPr>
          <w:b/>
        </w:rPr>
        <w:t>Abfallgebühren</w:t>
      </w:r>
      <w:r w:rsidR="002B3B84">
        <w:t xml:space="preserve"> gehalten werden.</w:t>
      </w:r>
    </w:p>
    <w:p w14:paraId="59AA25CE" w14:textId="5D5CD95C" w:rsidR="0023122D" w:rsidRPr="006507ED" w:rsidRDefault="00126EB1" w:rsidP="0023122D">
      <w:pPr>
        <w:jc w:val="left"/>
      </w:pPr>
      <w:r w:rsidRPr="00596172">
        <w:rPr>
          <w:b/>
        </w:rPr>
        <w:t>Umwelt-Tipp:</w:t>
      </w:r>
      <w:r w:rsidR="006D14FD" w:rsidRPr="00596172">
        <w:rPr>
          <w:b/>
        </w:rPr>
        <w:t xml:space="preserve"> </w:t>
      </w:r>
      <w:r w:rsidR="0085668B" w:rsidRPr="00596172">
        <w:t>Kartonverpackungen können</w:t>
      </w:r>
      <w:r w:rsidR="00756F12" w:rsidRPr="00596172">
        <w:t xml:space="preserve"> auch</w:t>
      </w:r>
      <w:r w:rsidR="0085668B" w:rsidRPr="00596172">
        <w:t xml:space="preserve"> kostenlos am </w:t>
      </w:r>
      <w:r w:rsidR="0085668B" w:rsidRPr="00596172">
        <w:rPr>
          <w:i/>
          <w:color w:val="FF0000"/>
        </w:rPr>
        <w:t xml:space="preserve">Recyclinghof/AWZ/ASZ; Standort; Öffnungszeiten </w:t>
      </w:r>
      <w:r w:rsidR="0085668B" w:rsidRPr="00596172">
        <w:t xml:space="preserve">abgegeben werden. Das macht vor allem bei großen, braunen Versandkartons Sinn: Es spart Platz </w:t>
      </w:r>
      <w:r w:rsidR="000D1C88" w:rsidRPr="00596172">
        <w:t>i</w:t>
      </w:r>
      <w:r w:rsidR="0085668B" w:rsidRPr="00596172">
        <w:t>n der Tonne</w:t>
      </w:r>
      <w:r w:rsidR="000D1C88" w:rsidRPr="00596172">
        <w:t>, ermöglicht umweltschonendes Recycling und bringt der Gemeinde Erlöse, die sich wiederum positiv auf die Gestaltung der Abfallgebühren auswirken können.</w:t>
      </w:r>
    </w:p>
    <w:sectPr w:rsidR="0023122D" w:rsidRPr="006507ED" w:rsidSect="00456687">
      <w:headerReference w:type="even" r:id="rId9"/>
      <w:headerReference w:type="first" r:id="rId10"/>
      <w:pgSz w:w="11900" w:h="16840"/>
      <w:pgMar w:top="1417" w:right="1836"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5D533" w14:textId="77777777" w:rsidR="0035159C" w:rsidRDefault="0035159C" w:rsidP="00BD430F">
      <w:r>
        <w:separator/>
      </w:r>
    </w:p>
  </w:endnote>
  <w:endnote w:type="continuationSeparator" w:id="0">
    <w:p w14:paraId="556EDB4D" w14:textId="77777777" w:rsidR="0035159C" w:rsidRDefault="0035159C" w:rsidP="00BD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945C5" w14:textId="77777777" w:rsidR="0035159C" w:rsidRDefault="0035159C" w:rsidP="00BD430F">
      <w:r>
        <w:separator/>
      </w:r>
    </w:p>
  </w:footnote>
  <w:footnote w:type="continuationSeparator" w:id="0">
    <w:p w14:paraId="51F31BC7" w14:textId="77777777" w:rsidR="0035159C" w:rsidRDefault="0035159C" w:rsidP="00BD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425"/>
      <w:gridCol w:w="2095"/>
      <w:gridCol w:w="3231"/>
    </w:tblGrid>
    <w:tr w:rsidR="00EC10BD" w:rsidRPr="00BD430F" w14:paraId="17454B1D" w14:textId="77777777" w:rsidTr="00BD430F">
      <w:trPr>
        <w:trHeight w:val="151"/>
      </w:trPr>
      <w:tc>
        <w:tcPr>
          <w:tcW w:w="2389" w:type="pct"/>
          <w:tcBorders>
            <w:top w:val="nil"/>
            <w:left w:val="nil"/>
            <w:bottom w:val="single" w:sz="4" w:space="0" w:color="4F81BD"/>
            <w:right w:val="nil"/>
          </w:tcBorders>
        </w:tcPr>
        <w:p w14:paraId="6302A0C4" w14:textId="77777777" w:rsidR="00EC10BD" w:rsidRPr="00BD430F" w:rsidRDefault="00EC10BD">
          <w:pPr>
            <w:pStyle w:val="Kopfzeile"/>
            <w:spacing w:line="276" w:lineRule="auto"/>
            <w:rPr>
              <w:rFonts w:eastAsia="MS Gothic"/>
              <w:b/>
              <w:bCs/>
              <w:color w:val="4F81BD"/>
            </w:rPr>
          </w:pPr>
        </w:p>
      </w:tc>
      <w:tc>
        <w:tcPr>
          <w:tcW w:w="333" w:type="pct"/>
          <w:vMerge w:val="restart"/>
          <w:noWrap/>
          <w:vAlign w:val="center"/>
          <w:hideMark/>
        </w:tcPr>
        <w:p w14:paraId="76DE70B7" w14:textId="77777777" w:rsidR="00EC10BD" w:rsidRPr="00BD430F" w:rsidRDefault="00EC10BD">
          <w:pPr>
            <w:pStyle w:val="MittlereSchattierung1-Akzent11"/>
            <w:rPr>
              <w:rFonts w:ascii="Cambria" w:hAnsi="Cambria"/>
              <w:color w:val="4F81BD"/>
              <w:szCs w:val="20"/>
            </w:rPr>
          </w:pPr>
          <w:r w:rsidRPr="00BD430F">
            <w:rPr>
              <w:rFonts w:ascii="Cambria" w:hAnsi="Cambria"/>
              <w:color w:val="4F81BD"/>
            </w:rPr>
            <w:t>[Geben Sie Text ein]</w:t>
          </w:r>
        </w:p>
      </w:tc>
      <w:tc>
        <w:tcPr>
          <w:tcW w:w="2278" w:type="pct"/>
          <w:tcBorders>
            <w:top w:val="nil"/>
            <w:left w:val="nil"/>
            <w:bottom w:val="single" w:sz="4" w:space="0" w:color="4F81BD"/>
            <w:right w:val="nil"/>
          </w:tcBorders>
        </w:tcPr>
        <w:p w14:paraId="4E9723CD" w14:textId="77777777" w:rsidR="00EC10BD" w:rsidRPr="00BD430F" w:rsidRDefault="00EC10BD">
          <w:pPr>
            <w:pStyle w:val="Kopfzeile"/>
            <w:spacing w:line="276" w:lineRule="auto"/>
            <w:rPr>
              <w:rFonts w:eastAsia="MS Gothic"/>
              <w:b/>
              <w:bCs/>
              <w:color w:val="4F81BD"/>
            </w:rPr>
          </w:pPr>
        </w:p>
      </w:tc>
    </w:tr>
    <w:tr w:rsidR="00EC10BD" w:rsidRPr="00BD430F" w14:paraId="717889DD" w14:textId="77777777" w:rsidTr="00BD430F">
      <w:trPr>
        <w:trHeight w:val="150"/>
      </w:trPr>
      <w:tc>
        <w:tcPr>
          <w:tcW w:w="2389" w:type="pct"/>
          <w:tcBorders>
            <w:top w:val="single" w:sz="4" w:space="0" w:color="4F81BD"/>
            <w:left w:val="nil"/>
            <w:bottom w:val="nil"/>
            <w:right w:val="nil"/>
          </w:tcBorders>
        </w:tcPr>
        <w:p w14:paraId="585F50A1" w14:textId="77777777" w:rsidR="00EC10BD" w:rsidRPr="00BD430F" w:rsidRDefault="00EC10BD">
          <w:pPr>
            <w:pStyle w:val="Kopfzeile"/>
            <w:spacing w:line="276" w:lineRule="auto"/>
            <w:rPr>
              <w:rFonts w:eastAsia="MS Gothic"/>
              <w:b/>
              <w:bCs/>
              <w:color w:val="4F81BD"/>
            </w:rPr>
          </w:pPr>
        </w:p>
      </w:tc>
      <w:tc>
        <w:tcPr>
          <w:tcW w:w="0" w:type="auto"/>
          <w:vMerge/>
          <w:vAlign w:val="center"/>
          <w:hideMark/>
        </w:tcPr>
        <w:p w14:paraId="5BA51A10" w14:textId="77777777" w:rsidR="00EC10BD" w:rsidRPr="00BD430F" w:rsidRDefault="00EC10BD">
          <w:pPr>
            <w:rPr>
              <w:color w:val="4F81BD"/>
              <w:sz w:val="22"/>
              <w:szCs w:val="22"/>
            </w:rPr>
          </w:pPr>
        </w:p>
      </w:tc>
      <w:tc>
        <w:tcPr>
          <w:tcW w:w="2278" w:type="pct"/>
          <w:tcBorders>
            <w:top w:val="single" w:sz="4" w:space="0" w:color="4F81BD"/>
            <w:left w:val="nil"/>
            <w:bottom w:val="nil"/>
            <w:right w:val="nil"/>
          </w:tcBorders>
        </w:tcPr>
        <w:p w14:paraId="67E5AF07" w14:textId="77777777" w:rsidR="00EC10BD" w:rsidRPr="00BD430F" w:rsidRDefault="00EC10BD">
          <w:pPr>
            <w:pStyle w:val="Kopfzeile"/>
            <w:spacing w:line="276" w:lineRule="auto"/>
            <w:rPr>
              <w:rFonts w:eastAsia="MS Gothic"/>
              <w:b/>
              <w:bCs/>
              <w:color w:val="4F81BD"/>
            </w:rPr>
          </w:pPr>
        </w:p>
      </w:tc>
    </w:tr>
  </w:tbl>
  <w:p w14:paraId="384DD9D3" w14:textId="77777777" w:rsidR="00EC10BD" w:rsidRDefault="00EC10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CD6DE" w14:textId="77777777" w:rsidR="00EC10BD" w:rsidRDefault="00EC10BD" w:rsidP="004F790F">
    <w:pPr>
      <w:pStyle w:val="Kopfzeile"/>
      <w:tabs>
        <w:tab w:val="clear" w:pos="4536"/>
        <w:tab w:val="clear" w:pos="9072"/>
        <w:tab w:val="right" w:pos="9066"/>
      </w:tabs>
    </w:pPr>
    <w:r>
      <w:rPr>
        <w:noProof/>
        <w:lang w:val="de-AT" w:eastAsia="de-AT"/>
      </w:rPr>
      <w:drawing>
        <wp:anchor distT="0" distB="0" distL="114300" distR="114300" simplePos="0" relativeHeight="251658240" behindDoc="1" locked="0" layoutInCell="1" allowOverlap="1" wp14:anchorId="4B8C8157" wp14:editId="684AC6E3">
          <wp:simplePos x="0" y="0"/>
          <wp:positionH relativeFrom="column">
            <wp:posOffset>4046220</wp:posOffset>
          </wp:positionH>
          <wp:positionV relativeFrom="paragraph">
            <wp:posOffset>-76200</wp:posOffset>
          </wp:positionV>
          <wp:extent cx="1746885" cy="436880"/>
          <wp:effectExtent l="0" t="0" r="5715" b="1270"/>
          <wp:wrapTight wrapText="bothSides">
            <wp:wrapPolygon edited="0">
              <wp:start x="0" y="0"/>
              <wp:lineTo x="0" y="20721"/>
              <wp:lineTo x="21435" y="20721"/>
              <wp:lineTo x="214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arge kompo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88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t xml:space="preserve"> </w:t>
    </w:r>
    <w:r>
      <w:tab/>
    </w:r>
  </w:p>
  <w:p w14:paraId="588BBEAA" w14:textId="77777777" w:rsidR="00EC10BD" w:rsidRDefault="00EC10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30CE8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3C40"/>
    <w:multiLevelType w:val="hybridMultilevel"/>
    <w:tmpl w:val="D3D8B6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6047203"/>
    <w:multiLevelType w:val="hybridMultilevel"/>
    <w:tmpl w:val="5328B6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312ACC"/>
    <w:multiLevelType w:val="hybridMultilevel"/>
    <w:tmpl w:val="F9C003AC"/>
    <w:lvl w:ilvl="0" w:tplc="0336ADC0">
      <w:start w:val="1"/>
      <w:numFmt w:val="decimal"/>
      <w:lvlText w:val="%1."/>
      <w:lvlJc w:val="left"/>
      <w:pPr>
        <w:ind w:left="990" w:hanging="630"/>
      </w:pPr>
      <w:rPr>
        <w:rFonts w:hint="default"/>
      </w:rPr>
    </w:lvl>
    <w:lvl w:ilvl="1" w:tplc="37ECD514">
      <w:start w:val="1"/>
      <w:numFmt w:val="lowerLetter"/>
      <w:lvlText w:val="%2."/>
      <w:lvlJc w:val="left"/>
      <w:pPr>
        <w:ind w:left="1455" w:hanging="375"/>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270A59"/>
    <w:multiLevelType w:val="hybridMultilevel"/>
    <w:tmpl w:val="67046F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593208"/>
    <w:multiLevelType w:val="hybridMultilevel"/>
    <w:tmpl w:val="22B4C9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19A753B"/>
    <w:multiLevelType w:val="hybridMultilevel"/>
    <w:tmpl w:val="1BF862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1C4381"/>
    <w:multiLevelType w:val="hybridMultilevel"/>
    <w:tmpl w:val="E1A65A50"/>
    <w:lvl w:ilvl="0" w:tplc="52865720">
      <w:start w:val="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23893"/>
    <w:multiLevelType w:val="hybridMultilevel"/>
    <w:tmpl w:val="45845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3722E8D"/>
    <w:multiLevelType w:val="hybridMultilevel"/>
    <w:tmpl w:val="020AB8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EC043B"/>
    <w:multiLevelType w:val="hybridMultilevel"/>
    <w:tmpl w:val="F3628B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BA63ECF"/>
    <w:multiLevelType w:val="hybridMultilevel"/>
    <w:tmpl w:val="17C2EB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C370FA"/>
    <w:multiLevelType w:val="hybridMultilevel"/>
    <w:tmpl w:val="FCA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E58B0"/>
    <w:multiLevelType w:val="hybridMultilevel"/>
    <w:tmpl w:val="38707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5E7E64"/>
    <w:multiLevelType w:val="hybridMultilevel"/>
    <w:tmpl w:val="47BC627E"/>
    <w:lvl w:ilvl="0" w:tplc="0C070001">
      <w:start w:val="1"/>
      <w:numFmt w:val="bullet"/>
      <w:lvlText w:val=""/>
      <w:lvlJc w:val="left"/>
      <w:pPr>
        <w:ind w:left="780" w:hanging="360"/>
      </w:pPr>
      <w:rPr>
        <w:rFonts w:ascii="Symbol" w:hAnsi="Symbol" w:hint="default"/>
      </w:rPr>
    </w:lvl>
    <w:lvl w:ilvl="1" w:tplc="0C070003">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5" w15:restartNumberingAfterBreak="0">
    <w:nsid w:val="3DC030BA"/>
    <w:multiLevelType w:val="hybridMultilevel"/>
    <w:tmpl w:val="1ADCC6A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29B793C"/>
    <w:multiLevelType w:val="hybridMultilevel"/>
    <w:tmpl w:val="8B02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112E3"/>
    <w:multiLevelType w:val="hybridMultilevel"/>
    <w:tmpl w:val="A6B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C6332"/>
    <w:multiLevelType w:val="hybridMultilevel"/>
    <w:tmpl w:val="6FCA03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F7D35A6"/>
    <w:multiLevelType w:val="hybridMultilevel"/>
    <w:tmpl w:val="9E66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E2831"/>
    <w:multiLevelType w:val="hybridMultilevel"/>
    <w:tmpl w:val="3FB8C9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21" w15:restartNumberingAfterBreak="0">
    <w:nsid w:val="552B273E"/>
    <w:multiLevelType w:val="hybridMultilevel"/>
    <w:tmpl w:val="EA124848"/>
    <w:lvl w:ilvl="0" w:tplc="52865720">
      <w:start w:val="5"/>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713D"/>
    <w:multiLevelType w:val="hybridMultilevel"/>
    <w:tmpl w:val="1ED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53F7A"/>
    <w:multiLevelType w:val="hybridMultilevel"/>
    <w:tmpl w:val="CECC0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713C02"/>
    <w:multiLevelType w:val="hybridMultilevel"/>
    <w:tmpl w:val="A9A2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238D6"/>
    <w:multiLevelType w:val="hybridMultilevel"/>
    <w:tmpl w:val="702A7E5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F002592"/>
    <w:multiLevelType w:val="hybridMultilevel"/>
    <w:tmpl w:val="192ACF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1A0441"/>
    <w:multiLevelType w:val="hybridMultilevel"/>
    <w:tmpl w:val="A984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3"/>
  </w:num>
  <w:num w:numId="4">
    <w:abstractNumId w:val="23"/>
  </w:num>
  <w:num w:numId="5">
    <w:abstractNumId w:val="17"/>
  </w:num>
  <w:num w:numId="6">
    <w:abstractNumId w:val="22"/>
  </w:num>
  <w:num w:numId="7">
    <w:abstractNumId w:val="16"/>
  </w:num>
  <w:num w:numId="8">
    <w:abstractNumId w:val="19"/>
  </w:num>
  <w:num w:numId="9">
    <w:abstractNumId w:val="27"/>
  </w:num>
  <w:num w:numId="10">
    <w:abstractNumId w:val="21"/>
  </w:num>
  <w:num w:numId="11">
    <w:abstractNumId w:val="7"/>
  </w:num>
  <w:num w:numId="12">
    <w:abstractNumId w:val="12"/>
  </w:num>
  <w:num w:numId="13">
    <w:abstractNumId w:val="25"/>
  </w:num>
  <w:num w:numId="14">
    <w:abstractNumId w:val="4"/>
  </w:num>
  <w:num w:numId="15">
    <w:abstractNumId w:val="1"/>
  </w:num>
  <w:num w:numId="16">
    <w:abstractNumId w:val="15"/>
  </w:num>
  <w:num w:numId="17">
    <w:abstractNumId w:val="3"/>
  </w:num>
  <w:num w:numId="18">
    <w:abstractNumId w:val="11"/>
  </w:num>
  <w:num w:numId="19">
    <w:abstractNumId w:val="10"/>
  </w:num>
  <w:num w:numId="20">
    <w:abstractNumId w:val="6"/>
  </w:num>
  <w:num w:numId="21">
    <w:abstractNumId w:val="8"/>
  </w:num>
  <w:num w:numId="22">
    <w:abstractNumId w:val="20"/>
  </w:num>
  <w:num w:numId="23">
    <w:abstractNumId w:val="18"/>
  </w:num>
  <w:num w:numId="24">
    <w:abstractNumId w:val="2"/>
  </w:num>
  <w:num w:numId="25">
    <w:abstractNumId w:val="9"/>
  </w:num>
  <w:num w:numId="26">
    <w:abstractNumId w:val="26"/>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35F"/>
    <w:rsid w:val="0000169E"/>
    <w:rsid w:val="0000253A"/>
    <w:rsid w:val="00006CFB"/>
    <w:rsid w:val="00030805"/>
    <w:rsid w:val="00033129"/>
    <w:rsid w:val="00043461"/>
    <w:rsid w:val="0007110C"/>
    <w:rsid w:val="00072BC1"/>
    <w:rsid w:val="0007703B"/>
    <w:rsid w:val="000901E4"/>
    <w:rsid w:val="000B57E7"/>
    <w:rsid w:val="000B6A24"/>
    <w:rsid w:val="000D1C88"/>
    <w:rsid w:val="000D2294"/>
    <w:rsid w:val="000E1086"/>
    <w:rsid w:val="000E76CE"/>
    <w:rsid w:val="00112007"/>
    <w:rsid w:val="00116BBB"/>
    <w:rsid w:val="00124398"/>
    <w:rsid w:val="00126EB1"/>
    <w:rsid w:val="001312C4"/>
    <w:rsid w:val="001357B6"/>
    <w:rsid w:val="0014173B"/>
    <w:rsid w:val="00142F27"/>
    <w:rsid w:val="00154FE0"/>
    <w:rsid w:val="001946A0"/>
    <w:rsid w:val="001A05E6"/>
    <w:rsid w:val="001A0C69"/>
    <w:rsid w:val="001B0CE7"/>
    <w:rsid w:val="001B6E96"/>
    <w:rsid w:val="001C044C"/>
    <w:rsid w:val="001C28E7"/>
    <w:rsid w:val="001C4519"/>
    <w:rsid w:val="001E1C6A"/>
    <w:rsid w:val="001F2E2F"/>
    <w:rsid w:val="0020030B"/>
    <w:rsid w:val="0020694D"/>
    <w:rsid w:val="00210D68"/>
    <w:rsid w:val="0023122D"/>
    <w:rsid w:val="0023727A"/>
    <w:rsid w:val="002402CF"/>
    <w:rsid w:val="00243795"/>
    <w:rsid w:val="00253450"/>
    <w:rsid w:val="00255723"/>
    <w:rsid w:val="00266B16"/>
    <w:rsid w:val="00273BE7"/>
    <w:rsid w:val="002741F7"/>
    <w:rsid w:val="00277738"/>
    <w:rsid w:val="00281C64"/>
    <w:rsid w:val="00282780"/>
    <w:rsid w:val="00296B26"/>
    <w:rsid w:val="002A3FB6"/>
    <w:rsid w:val="002B3B84"/>
    <w:rsid w:val="002C1BCA"/>
    <w:rsid w:val="002C1E67"/>
    <w:rsid w:val="002D78F8"/>
    <w:rsid w:val="002E0790"/>
    <w:rsid w:val="002F57A9"/>
    <w:rsid w:val="002F614B"/>
    <w:rsid w:val="002F7DE3"/>
    <w:rsid w:val="003040D5"/>
    <w:rsid w:val="0035159C"/>
    <w:rsid w:val="0035229B"/>
    <w:rsid w:val="00371875"/>
    <w:rsid w:val="00383366"/>
    <w:rsid w:val="00392D01"/>
    <w:rsid w:val="0039734F"/>
    <w:rsid w:val="003A250E"/>
    <w:rsid w:val="003A442D"/>
    <w:rsid w:val="003C39FD"/>
    <w:rsid w:val="003C51B8"/>
    <w:rsid w:val="003D5618"/>
    <w:rsid w:val="00440471"/>
    <w:rsid w:val="004469AD"/>
    <w:rsid w:val="00450058"/>
    <w:rsid w:val="00456687"/>
    <w:rsid w:val="004634F2"/>
    <w:rsid w:val="00466609"/>
    <w:rsid w:val="0047351E"/>
    <w:rsid w:val="004A7B92"/>
    <w:rsid w:val="004B6FBD"/>
    <w:rsid w:val="004D3060"/>
    <w:rsid w:val="004D7C99"/>
    <w:rsid w:val="004E15B9"/>
    <w:rsid w:val="004E4760"/>
    <w:rsid w:val="004F0C38"/>
    <w:rsid w:val="004F790F"/>
    <w:rsid w:val="00503EFF"/>
    <w:rsid w:val="00504DE0"/>
    <w:rsid w:val="00514006"/>
    <w:rsid w:val="005212FB"/>
    <w:rsid w:val="00522CA5"/>
    <w:rsid w:val="005716C5"/>
    <w:rsid w:val="00573559"/>
    <w:rsid w:val="005930EB"/>
    <w:rsid w:val="00593B80"/>
    <w:rsid w:val="00596172"/>
    <w:rsid w:val="005A6511"/>
    <w:rsid w:val="005A719A"/>
    <w:rsid w:val="005D245A"/>
    <w:rsid w:val="005D26AE"/>
    <w:rsid w:val="00620092"/>
    <w:rsid w:val="006311DF"/>
    <w:rsid w:val="0063129B"/>
    <w:rsid w:val="00637AD4"/>
    <w:rsid w:val="006507ED"/>
    <w:rsid w:val="00693CC5"/>
    <w:rsid w:val="00696842"/>
    <w:rsid w:val="006B0698"/>
    <w:rsid w:val="006B2707"/>
    <w:rsid w:val="006D14FD"/>
    <w:rsid w:val="006E0CFB"/>
    <w:rsid w:val="006E17C8"/>
    <w:rsid w:val="006E459D"/>
    <w:rsid w:val="006F3164"/>
    <w:rsid w:val="00716D27"/>
    <w:rsid w:val="00720453"/>
    <w:rsid w:val="00726651"/>
    <w:rsid w:val="007267DD"/>
    <w:rsid w:val="007476A8"/>
    <w:rsid w:val="00750149"/>
    <w:rsid w:val="00756F12"/>
    <w:rsid w:val="00757C9B"/>
    <w:rsid w:val="00763FFE"/>
    <w:rsid w:val="00764827"/>
    <w:rsid w:val="00790EC1"/>
    <w:rsid w:val="007963D3"/>
    <w:rsid w:val="00796ABC"/>
    <w:rsid w:val="007A17E5"/>
    <w:rsid w:val="007A68A8"/>
    <w:rsid w:val="007B1F50"/>
    <w:rsid w:val="00807032"/>
    <w:rsid w:val="008115B3"/>
    <w:rsid w:val="00821BF0"/>
    <w:rsid w:val="008244FE"/>
    <w:rsid w:val="00835B55"/>
    <w:rsid w:val="0084515A"/>
    <w:rsid w:val="00845204"/>
    <w:rsid w:val="00847076"/>
    <w:rsid w:val="0085155D"/>
    <w:rsid w:val="0085668B"/>
    <w:rsid w:val="00862F5E"/>
    <w:rsid w:val="00866851"/>
    <w:rsid w:val="00871E43"/>
    <w:rsid w:val="00876F7B"/>
    <w:rsid w:val="0087735F"/>
    <w:rsid w:val="00885F90"/>
    <w:rsid w:val="008A06AD"/>
    <w:rsid w:val="008B3EDF"/>
    <w:rsid w:val="008B4ED3"/>
    <w:rsid w:val="008B751F"/>
    <w:rsid w:val="008C64C7"/>
    <w:rsid w:val="008D1743"/>
    <w:rsid w:val="008D1E68"/>
    <w:rsid w:val="008D29B7"/>
    <w:rsid w:val="008D4959"/>
    <w:rsid w:val="008E50BE"/>
    <w:rsid w:val="008F276F"/>
    <w:rsid w:val="00900E5B"/>
    <w:rsid w:val="009116BC"/>
    <w:rsid w:val="00916DA8"/>
    <w:rsid w:val="00920CEF"/>
    <w:rsid w:val="0093342C"/>
    <w:rsid w:val="009473E0"/>
    <w:rsid w:val="00954EEC"/>
    <w:rsid w:val="00964C1F"/>
    <w:rsid w:val="009668A2"/>
    <w:rsid w:val="0097230A"/>
    <w:rsid w:val="0098773F"/>
    <w:rsid w:val="009A5E7A"/>
    <w:rsid w:val="009C4739"/>
    <w:rsid w:val="009D2ABF"/>
    <w:rsid w:val="009D3937"/>
    <w:rsid w:val="009F349E"/>
    <w:rsid w:val="009F3A2E"/>
    <w:rsid w:val="00A0142B"/>
    <w:rsid w:val="00A04569"/>
    <w:rsid w:val="00A241AE"/>
    <w:rsid w:val="00A31927"/>
    <w:rsid w:val="00A31FCF"/>
    <w:rsid w:val="00A36552"/>
    <w:rsid w:val="00A415D0"/>
    <w:rsid w:val="00A43A46"/>
    <w:rsid w:val="00A5216F"/>
    <w:rsid w:val="00A604A1"/>
    <w:rsid w:val="00A66EB0"/>
    <w:rsid w:val="00A81919"/>
    <w:rsid w:val="00A8275E"/>
    <w:rsid w:val="00A828D3"/>
    <w:rsid w:val="00A82CD0"/>
    <w:rsid w:val="00A84757"/>
    <w:rsid w:val="00A9767C"/>
    <w:rsid w:val="00AA3686"/>
    <w:rsid w:val="00AB2B31"/>
    <w:rsid w:val="00AC40B7"/>
    <w:rsid w:val="00AC7C90"/>
    <w:rsid w:val="00AD1904"/>
    <w:rsid w:val="00AE2B1E"/>
    <w:rsid w:val="00B137C6"/>
    <w:rsid w:val="00B15DF5"/>
    <w:rsid w:val="00B17256"/>
    <w:rsid w:val="00B177B8"/>
    <w:rsid w:val="00B26304"/>
    <w:rsid w:val="00B32B43"/>
    <w:rsid w:val="00B32DF4"/>
    <w:rsid w:val="00B34C47"/>
    <w:rsid w:val="00B42F1B"/>
    <w:rsid w:val="00B4565F"/>
    <w:rsid w:val="00B575FC"/>
    <w:rsid w:val="00B622CE"/>
    <w:rsid w:val="00B7635E"/>
    <w:rsid w:val="00B84874"/>
    <w:rsid w:val="00BA43F1"/>
    <w:rsid w:val="00BB24CA"/>
    <w:rsid w:val="00BC44BB"/>
    <w:rsid w:val="00BD2229"/>
    <w:rsid w:val="00BD430F"/>
    <w:rsid w:val="00BF1FDC"/>
    <w:rsid w:val="00BF42E2"/>
    <w:rsid w:val="00C04E89"/>
    <w:rsid w:val="00C163D2"/>
    <w:rsid w:val="00C22073"/>
    <w:rsid w:val="00C27A47"/>
    <w:rsid w:val="00C33AEF"/>
    <w:rsid w:val="00C40C42"/>
    <w:rsid w:val="00C46EB8"/>
    <w:rsid w:val="00C47E95"/>
    <w:rsid w:val="00C55121"/>
    <w:rsid w:val="00CB531E"/>
    <w:rsid w:val="00CC719D"/>
    <w:rsid w:val="00CF2430"/>
    <w:rsid w:val="00D06CA1"/>
    <w:rsid w:val="00D106A2"/>
    <w:rsid w:val="00D30F42"/>
    <w:rsid w:val="00D36DA9"/>
    <w:rsid w:val="00D559E7"/>
    <w:rsid w:val="00D56F08"/>
    <w:rsid w:val="00D61713"/>
    <w:rsid w:val="00D618A0"/>
    <w:rsid w:val="00D62473"/>
    <w:rsid w:val="00D637A2"/>
    <w:rsid w:val="00D70C1B"/>
    <w:rsid w:val="00D71289"/>
    <w:rsid w:val="00D85A3D"/>
    <w:rsid w:val="00D87931"/>
    <w:rsid w:val="00D97D39"/>
    <w:rsid w:val="00DA31B4"/>
    <w:rsid w:val="00DA6241"/>
    <w:rsid w:val="00DB05E4"/>
    <w:rsid w:val="00DB7713"/>
    <w:rsid w:val="00DC3C2E"/>
    <w:rsid w:val="00DE25E1"/>
    <w:rsid w:val="00DF042A"/>
    <w:rsid w:val="00E001C9"/>
    <w:rsid w:val="00E120A2"/>
    <w:rsid w:val="00E156DF"/>
    <w:rsid w:val="00E21C0D"/>
    <w:rsid w:val="00E32EC5"/>
    <w:rsid w:val="00E4293A"/>
    <w:rsid w:val="00E454D0"/>
    <w:rsid w:val="00E57F33"/>
    <w:rsid w:val="00E71B08"/>
    <w:rsid w:val="00E75833"/>
    <w:rsid w:val="00E75DB0"/>
    <w:rsid w:val="00E954CB"/>
    <w:rsid w:val="00EA0A9E"/>
    <w:rsid w:val="00EB3454"/>
    <w:rsid w:val="00EC10BD"/>
    <w:rsid w:val="00ED63EE"/>
    <w:rsid w:val="00EE5A81"/>
    <w:rsid w:val="00EF58E8"/>
    <w:rsid w:val="00EF5D9B"/>
    <w:rsid w:val="00EF619F"/>
    <w:rsid w:val="00F06CFC"/>
    <w:rsid w:val="00F16D15"/>
    <w:rsid w:val="00F24EA5"/>
    <w:rsid w:val="00F275A8"/>
    <w:rsid w:val="00F3361A"/>
    <w:rsid w:val="00F33CBD"/>
    <w:rsid w:val="00F514DC"/>
    <w:rsid w:val="00F83EA8"/>
    <w:rsid w:val="00F87CAE"/>
    <w:rsid w:val="00FB38CB"/>
    <w:rsid w:val="00FD5451"/>
    <w:rsid w:val="00FF2887"/>
    <w:rsid w:val="00FF48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34F62F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90F"/>
    <w:pPr>
      <w:spacing w:line="300" w:lineRule="auto"/>
      <w:jc w:val="both"/>
    </w:pPr>
    <w:rPr>
      <w:rFonts w:ascii="Verdana" w:hAnsi="Verdana"/>
      <w:sz w:val="18"/>
      <w:szCs w:val="24"/>
      <w:lang w:val="de-DE" w:eastAsia="de-DE"/>
    </w:rPr>
  </w:style>
  <w:style w:type="paragraph" w:styleId="berschrift1">
    <w:name w:val="heading 1"/>
    <w:basedOn w:val="Standard"/>
    <w:next w:val="Standard"/>
    <w:link w:val="berschrift1Zchn"/>
    <w:uiPriority w:val="9"/>
    <w:qFormat/>
    <w:rsid w:val="00EB3454"/>
    <w:pPr>
      <w:keepNext/>
      <w:keepLines/>
      <w:pBdr>
        <w:bottom w:val="single" w:sz="4" w:space="1" w:color="auto"/>
      </w:pBdr>
      <w:spacing w:before="400" w:after="240"/>
      <w:outlineLvl w:val="0"/>
    </w:pPr>
    <w:rPr>
      <w:rFonts w:asciiTheme="minorHAnsi" w:eastAsia="Times New Roman" w:hAnsiTheme="minorHAnsi"/>
      <w:b/>
      <w:color w:val="003888" w:themeColor="accent3"/>
      <w:sz w:val="20"/>
      <w:szCs w:val="36"/>
      <w:lang w:val="de-AT" w:eastAsia="en-US"/>
    </w:rPr>
  </w:style>
  <w:style w:type="paragraph" w:styleId="berschrift2">
    <w:name w:val="heading 2"/>
    <w:basedOn w:val="Standard"/>
    <w:next w:val="Standard"/>
    <w:link w:val="berschrift2Zchn"/>
    <w:qFormat/>
    <w:rsid w:val="00F83EA8"/>
    <w:pPr>
      <w:keepNext/>
      <w:keepLines/>
      <w:spacing w:before="40"/>
      <w:outlineLvl w:val="1"/>
    </w:pPr>
    <w:rPr>
      <w:rFonts w:ascii="Arial" w:eastAsia="Times New Roman" w:hAnsi="Arial"/>
      <w:color w:val="365F91"/>
      <w:szCs w:val="26"/>
      <w:lang w:val="de-AT" w:eastAsia="en-US"/>
    </w:rPr>
  </w:style>
  <w:style w:type="paragraph" w:styleId="berschrift3">
    <w:name w:val="heading 3"/>
    <w:basedOn w:val="Standard"/>
    <w:next w:val="Standard"/>
    <w:link w:val="berschrift3Zchn"/>
    <w:uiPriority w:val="9"/>
    <w:unhideWhenUsed/>
    <w:qFormat/>
    <w:rsid w:val="009A5E7A"/>
    <w:pPr>
      <w:keepNext/>
      <w:keepLines/>
      <w:spacing w:before="200"/>
      <w:outlineLvl w:val="2"/>
    </w:pPr>
    <w:rPr>
      <w:rFonts w:asciiTheme="majorHAnsi" w:eastAsiaTheme="majorEastAsia" w:hAnsiTheme="majorHAnsi" w:cstheme="majorBidi"/>
      <w:b/>
      <w:bCs/>
      <w:color w:val="003888" w:themeColor="accent3"/>
    </w:rPr>
  </w:style>
  <w:style w:type="paragraph" w:styleId="berschrift4">
    <w:name w:val="heading 4"/>
    <w:basedOn w:val="Standard"/>
    <w:next w:val="Standard"/>
    <w:link w:val="berschrift4Zchn"/>
    <w:uiPriority w:val="9"/>
    <w:unhideWhenUsed/>
    <w:qFormat/>
    <w:rsid w:val="0087735F"/>
    <w:pPr>
      <w:keepNext/>
      <w:keepLines/>
      <w:spacing w:before="200"/>
      <w:outlineLvl w:val="3"/>
    </w:pPr>
    <w:rPr>
      <w:rFonts w:asciiTheme="majorHAnsi" w:eastAsiaTheme="majorEastAsia" w:hAnsiTheme="majorHAnsi" w:cstheme="majorBidi"/>
      <w:b/>
      <w:bCs/>
      <w:i/>
      <w:iCs/>
      <w:color w:val="99CC00"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430F"/>
    <w:rPr>
      <w:rFonts w:ascii="Lucida Grande" w:hAnsi="Lucida Grande" w:cs="Lucida Grande"/>
      <w:szCs w:val="18"/>
    </w:rPr>
  </w:style>
  <w:style w:type="character" w:customStyle="1" w:styleId="SprechblasentextZchn">
    <w:name w:val="Sprechblasentext Zchn"/>
    <w:link w:val="Sprechblasentext"/>
    <w:uiPriority w:val="99"/>
    <w:semiHidden/>
    <w:rsid w:val="00BD430F"/>
    <w:rPr>
      <w:rFonts w:ascii="Lucida Grande" w:hAnsi="Lucida Grande" w:cs="Lucida Grande"/>
      <w:sz w:val="18"/>
      <w:szCs w:val="18"/>
    </w:rPr>
  </w:style>
  <w:style w:type="paragraph" w:styleId="Kopfzeile">
    <w:name w:val="header"/>
    <w:basedOn w:val="Standard"/>
    <w:link w:val="KopfzeileZchn"/>
    <w:uiPriority w:val="99"/>
    <w:unhideWhenUsed/>
    <w:rsid w:val="00BD430F"/>
    <w:pPr>
      <w:tabs>
        <w:tab w:val="center" w:pos="4536"/>
        <w:tab w:val="right" w:pos="9072"/>
      </w:tabs>
    </w:pPr>
  </w:style>
  <w:style w:type="character" w:customStyle="1" w:styleId="KopfzeileZchn">
    <w:name w:val="Kopfzeile Zchn"/>
    <w:basedOn w:val="Absatz-Standardschriftart"/>
    <w:link w:val="Kopfzeile"/>
    <w:uiPriority w:val="99"/>
    <w:rsid w:val="00BD430F"/>
  </w:style>
  <w:style w:type="paragraph" w:styleId="Fuzeile">
    <w:name w:val="footer"/>
    <w:basedOn w:val="Standard"/>
    <w:link w:val="FuzeileZchn"/>
    <w:uiPriority w:val="99"/>
    <w:unhideWhenUsed/>
    <w:rsid w:val="00BD430F"/>
    <w:pPr>
      <w:tabs>
        <w:tab w:val="center" w:pos="4536"/>
        <w:tab w:val="right" w:pos="9072"/>
      </w:tabs>
    </w:pPr>
  </w:style>
  <w:style w:type="character" w:customStyle="1" w:styleId="FuzeileZchn">
    <w:name w:val="Fußzeile Zchn"/>
    <w:basedOn w:val="Absatz-Standardschriftart"/>
    <w:link w:val="Fuzeile"/>
    <w:uiPriority w:val="99"/>
    <w:rsid w:val="00BD430F"/>
  </w:style>
  <w:style w:type="paragraph" w:customStyle="1" w:styleId="MittlereSchattierung1-Akzent11">
    <w:name w:val="Mittlere Schattierung 1 - Akzent 11"/>
    <w:link w:val="MittlereSchattierung1-Akzent1Zchn"/>
    <w:qFormat/>
    <w:rsid w:val="00BD430F"/>
    <w:rPr>
      <w:rFonts w:ascii="PMingLiU" w:hAnsi="PMingLiU"/>
      <w:sz w:val="22"/>
      <w:szCs w:val="22"/>
      <w:lang w:val="de-DE" w:eastAsia="de-DE"/>
    </w:rPr>
  </w:style>
  <w:style w:type="character" w:customStyle="1" w:styleId="MittlereSchattierung1-Akzent1Zchn">
    <w:name w:val="Mittlere Schattierung 1 - Akzent 1 Zchn"/>
    <w:link w:val="MittlereSchattierung1-Akzent11"/>
    <w:rsid w:val="00BD430F"/>
    <w:rPr>
      <w:rFonts w:ascii="PMingLiU" w:hAnsi="PMingLiU"/>
      <w:sz w:val="22"/>
      <w:szCs w:val="22"/>
    </w:rPr>
  </w:style>
  <w:style w:type="paragraph" w:customStyle="1" w:styleId="FarbigeListe-Akzent11">
    <w:name w:val="Farbige Liste - Akzent 11"/>
    <w:basedOn w:val="Standard"/>
    <w:uiPriority w:val="34"/>
    <w:qFormat/>
    <w:rsid w:val="004F0C38"/>
    <w:pPr>
      <w:ind w:left="720"/>
      <w:contextualSpacing/>
    </w:pPr>
    <w:rPr>
      <w:rFonts w:eastAsia="Calibri"/>
      <w:lang w:val="en-US" w:eastAsia="en-US"/>
    </w:rPr>
  </w:style>
  <w:style w:type="table" w:styleId="Tabellenraster">
    <w:name w:val="Table Grid"/>
    <w:basedOn w:val="NormaleTabelle"/>
    <w:uiPriority w:val="39"/>
    <w:rsid w:val="004F0C38"/>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EB3454"/>
    <w:rPr>
      <w:rFonts w:asciiTheme="minorHAnsi" w:eastAsia="Times New Roman" w:hAnsiTheme="minorHAnsi"/>
      <w:b/>
      <w:color w:val="003888" w:themeColor="accent3"/>
      <w:szCs w:val="36"/>
      <w:lang w:eastAsia="en-US"/>
    </w:rPr>
  </w:style>
  <w:style w:type="character" w:customStyle="1" w:styleId="berschrift2Zchn">
    <w:name w:val="Überschrift 2 Zchn"/>
    <w:link w:val="berschrift2"/>
    <w:rsid w:val="00F83EA8"/>
    <w:rPr>
      <w:rFonts w:ascii="Arial" w:eastAsia="Times New Roman" w:hAnsi="Arial"/>
      <w:color w:val="365F91"/>
      <w:sz w:val="26"/>
      <w:szCs w:val="26"/>
      <w:lang w:val="de-AT"/>
    </w:rPr>
  </w:style>
  <w:style w:type="paragraph" w:styleId="Titel">
    <w:name w:val="Title"/>
    <w:basedOn w:val="Standard"/>
    <w:next w:val="Standard"/>
    <w:link w:val="TitelZchn"/>
    <w:uiPriority w:val="10"/>
    <w:qFormat/>
    <w:rsid w:val="009A5E7A"/>
    <w:pPr>
      <w:contextualSpacing/>
      <w:jc w:val="center"/>
    </w:pPr>
    <w:rPr>
      <w:rFonts w:asciiTheme="minorHAnsi" w:eastAsia="Times New Roman" w:hAnsiTheme="minorHAnsi"/>
      <w:b/>
      <w:color w:val="003888" w:themeColor="accent3"/>
      <w:spacing w:val="-7"/>
      <w:sz w:val="40"/>
      <w:szCs w:val="80"/>
      <w:lang w:val="de-AT" w:eastAsia="en-US"/>
    </w:rPr>
  </w:style>
  <w:style w:type="character" w:customStyle="1" w:styleId="TitelZchn">
    <w:name w:val="Titel Zchn"/>
    <w:link w:val="Titel"/>
    <w:uiPriority w:val="10"/>
    <w:rsid w:val="009A5E7A"/>
    <w:rPr>
      <w:rFonts w:asciiTheme="minorHAnsi" w:eastAsia="Times New Roman" w:hAnsiTheme="minorHAnsi"/>
      <w:b/>
      <w:color w:val="003888" w:themeColor="accent3"/>
      <w:spacing w:val="-7"/>
      <w:sz w:val="40"/>
      <w:szCs w:val="80"/>
      <w:lang w:eastAsia="en-US"/>
    </w:rPr>
  </w:style>
  <w:style w:type="character" w:customStyle="1" w:styleId="berschrift3Zchn">
    <w:name w:val="Überschrift 3 Zchn"/>
    <w:basedOn w:val="Absatz-Standardschriftart"/>
    <w:link w:val="berschrift3"/>
    <w:uiPriority w:val="9"/>
    <w:rsid w:val="009A5E7A"/>
    <w:rPr>
      <w:rFonts w:asciiTheme="majorHAnsi" w:eastAsiaTheme="majorEastAsia" w:hAnsiTheme="majorHAnsi" w:cstheme="majorBidi"/>
      <w:b/>
      <w:bCs/>
      <w:color w:val="003888" w:themeColor="accent3"/>
      <w:sz w:val="24"/>
      <w:szCs w:val="24"/>
      <w:lang w:val="de-DE" w:eastAsia="de-DE"/>
    </w:rPr>
  </w:style>
  <w:style w:type="table" w:styleId="HelleListe-Akzent3">
    <w:name w:val="Light List Accent 3"/>
    <w:basedOn w:val="NormaleTabelle"/>
    <w:uiPriority w:val="66"/>
    <w:rsid w:val="004634F2"/>
    <w:tblPr>
      <w:tblStyleRowBandSize w:val="1"/>
      <w:tblStyleColBandSize w:val="1"/>
      <w:tblBorders>
        <w:top w:val="single" w:sz="8" w:space="0" w:color="003888" w:themeColor="accent3"/>
        <w:left w:val="single" w:sz="8" w:space="0" w:color="003888" w:themeColor="accent3"/>
        <w:bottom w:val="single" w:sz="8" w:space="0" w:color="003888" w:themeColor="accent3"/>
        <w:right w:val="single" w:sz="8" w:space="0" w:color="003888" w:themeColor="accent3"/>
      </w:tblBorders>
    </w:tblPr>
    <w:tblStylePr w:type="firstRow">
      <w:pPr>
        <w:spacing w:before="0" w:after="0" w:line="240" w:lineRule="auto"/>
      </w:pPr>
      <w:rPr>
        <w:b/>
        <w:bCs/>
        <w:color w:val="FFFFFF" w:themeColor="background1"/>
      </w:rPr>
      <w:tblPr/>
      <w:tcPr>
        <w:shd w:val="clear" w:color="auto" w:fill="003888" w:themeFill="accent3"/>
      </w:tcPr>
    </w:tblStylePr>
    <w:tblStylePr w:type="lastRow">
      <w:pPr>
        <w:spacing w:before="0" w:after="0" w:line="240" w:lineRule="auto"/>
      </w:pPr>
      <w:rPr>
        <w:b/>
        <w:bCs/>
      </w:rPr>
      <w:tblPr/>
      <w:tcPr>
        <w:tcBorders>
          <w:top w:val="double" w:sz="6" w:space="0" w:color="003888" w:themeColor="accent3"/>
          <w:left w:val="single" w:sz="8" w:space="0" w:color="003888" w:themeColor="accent3"/>
          <w:bottom w:val="single" w:sz="8" w:space="0" w:color="003888" w:themeColor="accent3"/>
          <w:right w:val="single" w:sz="8" w:space="0" w:color="003888" w:themeColor="accent3"/>
        </w:tcBorders>
      </w:tcPr>
    </w:tblStylePr>
    <w:tblStylePr w:type="firstCol">
      <w:rPr>
        <w:b/>
        <w:bCs/>
      </w:rPr>
    </w:tblStylePr>
    <w:tblStylePr w:type="lastCol">
      <w:rPr>
        <w:b/>
        <w:bCs/>
      </w:rPr>
    </w:tblStylePr>
    <w:tblStylePr w:type="band1Vert">
      <w:tblPr/>
      <w:tcPr>
        <w:tcBorders>
          <w:top w:val="single" w:sz="8" w:space="0" w:color="003888" w:themeColor="accent3"/>
          <w:left w:val="single" w:sz="8" w:space="0" w:color="003888" w:themeColor="accent3"/>
          <w:bottom w:val="single" w:sz="8" w:space="0" w:color="003888" w:themeColor="accent3"/>
          <w:right w:val="single" w:sz="8" w:space="0" w:color="003888" w:themeColor="accent3"/>
        </w:tcBorders>
      </w:tcPr>
    </w:tblStylePr>
    <w:tblStylePr w:type="band1Horz">
      <w:tblPr/>
      <w:tcPr>
        <w:tcBorders>
          <w:top w:val="single" w:sz="8" w:space="0" w:color="003888" w:themeColor="accent3"/>
          <w:left w:val="single" w:sz="8" w:space="0" w:color="003888" w:themeColor="accent3"/>
          <w:bottom w:val="single" w:sz="8" w:space="0" w:color="003888" w:themeColor="accent3"/>
          <w:right w:val="single" w:sz="8" w:space="0" w:color="003888" w:themeColor="accent3"/>
        </w:tcBorders>
      </w:tcPr>
    </w:tblStylePr>
  </w:style>
  <w:style w:type="paragraph" w:styleId="Listenabsatz">
    <w:name w:val="List Paragraph"/>
    <w:basedOn w:val="Standard"/>
    <w:uiPriority w:val="72"/>
    <w:qFormat/>
    <w:rsid w:val="00EB3454"/>
    <w:pPr>
      <w:spacing w:before="120" w:after="120"/>
      <w:ind w:left="720"/>
      <w:contextualSpacing/>
    </w:pPr>
  </w:style>
  <w:style w:type="paragraph" w:customStyle="1" w:styleId="RahmenmitText">
    <w:name w:val="Rahmen mit Text"/>
    <w:basedOn w:val="Standard"/>
    <w:qFormat/>
    <w:rsid w:val="00D106A2"/>
    <w:pPr>
      <w:pBdr>
        <w:top w:val="single" w:sz="4" w:space="1" w:color="auto"/>
        <w:left w:val="single" w:sz="4" w:space="4" w:color="auto"/>
        <w:bottom w:val="single" w:sz="4" w:space="1" w:color="auto"/>
        <w:right w:val="single" w:sz="4" w:space="4" w:color="auto"/>
      </w:pBdr>
    </w:pPr>
    <w:rPr>
      <w:lang w:val="de-AT" w:eastAsia="en-US"/>
    </w:rPr>
  </w:style>
  <w:style w:type="character" w:styleId="Hyperlink">
    <w:name w:val="Hyperlink"/>
    <w:basedOn w:val="Absatz-Standardschriftart"/>
    <w:uiPriority w:val="99"/>
    <w:unhideWhenUsed/>
    <w:rsid w:val="00EF58E8"/>
    <w:rPr>
      <w:color w:val="26CBEC" w:themeColor="hyperlink"/>
      <w:u w:val="single"/>
    </w:rPr>
  </w:style>
  <w:style w:type="paragraph" w:styleId="KeinLeerraum">
    <w:name w:val="No Spacing"/>
    <w:link w:val="KeinLeerraumZchn"/>
    <w:uiPriority w:val="1"/>
    <w:qFormat/>
    <w:rsid w:val="00456687"/>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456687"/>
    <w:rPr>
      <w:rFonts w:asciiTheme="minorHAnsi" w:eastAsiaTheme="minorEastAsia" w:hAnsiTheme="minorHAnsi" w:cstheme="minorBidi"/>
      <w:sz w:val="22"/>
      <w:szCs w:val="22"/>
    </w:rPr>
  </w:style>
  <w:style w:type="paragraph" w:styleId="HTMLVorformatiert">
    <w:name w:val="HTML Preformatted"/>
    <w:basedOn w:val="Standard"/>
    <w:link w:val="HTMLVorformatiertZchn"/>
    <w:uiPriority w:val="99"/>
    <w:semiHidden/>
    <w:unhideWhenUsed/>
    <w:rsid w:val="0024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2402CF"/>
    <w:rPr>
      <w:rFonts w:ascii="Courier New" w:eastAsia="Times New Roman" w:hAnsi="Courier New" w:cs="Courier New"/>
    </w:rPr>
  </w:style>
  <w:style w:type="character" w:customStyle="1" w:styleId="berschrift4Zchn">
    <w:name w:val="Überschrift 4 Zchn"/>
    <w:basedOn w:val="Absatz-Standardschriftart"/>
    <w:link w:val="berschrift4"/>
    <w:uiPriority w:val="9"/>
    <w:rsid w:val="0087735F"/>
    <w:rPr>
      <w:rFonts w:asciiTheme="majorHAnsi" w:eastAsiaTheme="majorEastAsia" w:hAnsiTheme="majorHAnsi" w:cstheme="majorBidi"/>
      <w:b/>
      <w:bCs/>
      <w:i/>
      <w:iCs/>
      <w:color w:val="99CC00" w:themeColor="accent1"/>
      <w:sz w:val="1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6888">
      <w:bodyDiv w:val="1"/>
      <w:marLeft w:val="0"/>
      <w:marRight w:val="0"/>
      <w:marTop w:val="0"/>
      <w:marBottom w:val="0"/>
      <w:divBdr>
        <w:top w:val="none" w:sz="0" w:space="0" w:color="auto"/>
        <w:left w:val="none" w:sz="0" w:space="0" w:color="auto"/>
        <w:bottom w:val="none" w:sz="0" w:space="0" w:color="auto"/>
        <w:right w:val="none" w:sz="0" w:space="0" w:color="auto"/>
      </w:divBdr>
    </w:div>
    <w:div w:id="584268363">
      <w:bodyDiv w:val="1"/>
      <w:marLeft w:val="0"/>
      <w:marRight w:val="0"/>
      <w:marTop w:val="0"/>
      <w:marBottom w:val="0"/>
      <w:divBdr>
        <w:top w:val="none" w:sz="0" w:space="0" w:color="auto"/>
        <w:left w:val="none" w:sz="0" w:space="0" w:color="auto"/>
        <w:bottom w:val="none" w:sz="0" w:space="0" w:color="auto"/>
        <w:right w:val="none" w:sz="0" w:space="0" w:color="auto"/>
      </w:divBdr>
    </w:div>
    <w:div w:id="931209586">
      <w:bodyDiv w:val="1"/>
      <w:marLeft w:val="0"/>
      <w:marRight w:val="0"/>
      <w:marTop w:val="0"/>
      <w:marBottom w:val="0"/>
      <w:divBdr>
        <w:top w:val="none" w:sz="0" w:space="0" w:color="auto"/>
        <w:left w:val="none" w:sz="0" w:space="0" w:color="auto"/>
        <w:bottom w:val="none" w:sz="0" w:space="0" w:color="auto"/>
        <w:right w:val="none" w:sz="0" w:space="0" w:color="auto"/>
      </w:divBdr>
    </w:div>
    <w:div w:id="1073970204">
      <w:bodyDiv w:val="1"/>
      <w:marLeft w:val="0"/>
      <w:marRight w:val="0"/>
      <w:marTop w:val="0"/>
      <w:marBottom w:val="0"/>
      <w:divBdr>
        <w:top w:val="none" w:sz="0" w:space="0" w:color="auto"/>
        <w:left w:val="none" w:sz="0" w:space="0" w:color="auto"/>
        <w:bottom w:val="none" w:sz="0" w:space="0" w:color="auto"/>
        <w:right w:val="none" w:sz="0" w:space="0" w:color="auto"/>
      </w:divBdr>
    </w:div>
    <w:div w:id="1193691095">
      <w:bodyDiv w:val="1"/>
      <w:marLeft w:val="0"/>
      <w:marRight w:val="0"/>
      <w:marTop w:val="0"/>
      <w:marBottom w:val="0"/>
      <w:divBdr>
        <w:top w:val="none" w:sz="0" w:space="0" w:color="auto"/>
        <w:left w:val="none" w:sz="0" w:space="0" w:color="auto"/>
        <w:bottom w:val="none" w:sz="0" w:space="0" w:color="auto"/>
        <w:right w:val="none" w:sz="0" w:space="0" w:color="auto"/>
      </w:divBdr>
    </w:div>
    <w:div w:id="1368289858">
      <w:bodyDiv w:val="1"/>
      <w:marLeft w:val="0"/>
      <w:marRight w:val="0"/>
      <w:marTop w:val="0"/>
      <w:marBottom w:val="0"/>
      <w:divBdr>
        <w:top w:val="none" w:sz="0" w:space="0" w:color="auto"/>
        <w:left w:val="none" w:sz="0" w:space="0" w:color="auto"/>
        <w:bottom w:val="none" w:sz="0" w:space="0" w:color="auto"/>
        <w:right w:val="none" w:sz="0" w:space="0" w:color="auto"/>
      </w:divBdr>
    </w:div>
    <w:div w:id="1913849148">
      <w:bodyDiv w:val="1"/>
      <w:marLeft w:val="0"/>
      <w:marRight w:val="0"/>
      <w:marTop w:val="0"/>
      <w:marBottom w:val="0"/>
      <w:divBdr>
        <w:top w:val="none" w:sz="0" w:space="0" w:color="auto"/>
        <w:left w:val="none" w:sz="0" w:space="0" w:color="auto"/>
        <w:bottom w:val="none" w:sz="0" w:space="0" w:color="auto"/>
        <w:right w:val="none" w:sz="0" w:space="0" w:color="auto"/>
      </w:divBdr>
    </w:div>
    <w:div w:id="2055688479">
      <w:bodyDiv w:val="1"/>
      <w:marLeft w:val="0"/>
      <w:marRight w:val="0"/>
      <w:marTop w:val="0"/>
      <w:marBottom w:val="0"/>
      <w:divBdr>
        <w:top w:val="none" w:sz="0" w:space="0" w:color="auto"/>
        <w:left w:val="none" w:sz="0" w:space="0" w:color="auto"/>
        <w:bottom w:val="none" w:sz="0" w:space="0" w:color="auto"/>
        <w:right w:val="none" w:sz="0" w:space="0" w:color="auto"/>
      </w:divBdr>
    </w:div>
    <w:div w:id="21311279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TM">
  <a:themeElements>
    <a:clrScheme name="ATM">
      <a:dk1>
        <a:sysClr val="windowText" lastClr="000000"/>
      </a:dk1>
      <a:lt1>
        <a:sysClr val="window" lastClr="FFFFFF"/>
      </a:lt1>
      <a:dk2>
        <a:srgbClr val="5B6973"/>
      </a:dk2>
      <a:lt2>
        <a:srgbClr val="E7ECED"/>
      </a:lt2>
      <a:accent1>
        <a:srgbClr val="99CC00"/>
      </a:accent1>
      <a:accent2>
        <a:srgbClr val="037ABC"/>
      </a:accent2>
      <a:accent3>
        <a:srgbClr val="003888"/>
      </a:accent3>
      <a:accent4>
        <a:srgbClr val="DEAE00"/>
      </a:accent4>
      <a:accent5>
        <a:srgbClr val="59773C"/>
      </a:accent5>
      <a:accent6>
        <a:srgbClr val="DEAE00"/>
      </a:accent6>
      <a:hlink>
        <a:srgbClr val="26CBEC"/>
      </a:hlink>
      <a:folHlink>
        <a:srgbClr val="598C8C"/>
      </a:folHlink>
    </a:clrScheme>
    <a:fontScheme name="ATM">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B58DFB-7FA3-4C71-BA06-397CB436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2020-09-10T12:14:00Z</dcterms:created>
  <dcterms:modified xsi:type="dcterms:W3CDTF">2021-06-08T13:00:00Z</dcterms:modified>
</cp:coreProperties>
</file>